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4AADA7A" w14:textId="0426714C" w:rsidR="00E90E49" w:rsidRPr="00CE0424" w:rsidRDefault="00E90E49" w:rsidP="00E35559">
      <w:pPr>
        <w:pStyle w:val="3GPPHeader"/>
        <w:spacing w:after="60"/>
        <w:rPr>
          <w:sz w:val="32"/>
          <w:szCs w:val="32"/>
          <w:highlight w:val="yellow"/>
        </w:rPr>
      </w:pPr>
      <w:r w:rsidRPr="00CE0424">
        <w:t>3GPP TSG-RAN WG</w:t>
      </w:r>
      <w:r w:rsidR="00F20F5C">
        <w:t>2</w:t>
      </w:r>
      <w:r w:rsidRPr="00CE0424">
        <w:t xml:space="preserve"> #</w:t>
      </w:r>
      <w:r w:rsidR="00F20F5C">
        <w:t>1</w:t>
      </w:r>
      <w:r w:rsidR="00C268E6">
        <w:t>1</w:t>
      </w:r>
      <w:r w:rsidR="002D3B5B">
        <w:t>5</w:t>
      </w:r>
      <w:r w:rsidR="00F20F5C">
        <w:t>e</w:t>
      </w:r>
      <w:r w:rsidRPr="00CE0424">
        <w:tab/>
      </w:r>
      <w:proofErr w:type="spellStart"/>
      <w:r w:rsidRPr="00CE0424">
        <w:rPr>
          <w:sz w:val="32"/>
          <w:szCs w:val="32"/>
        </w:rPr>
        <w:t>Tdoc</w:t>
      </w:r>
      <w:proofErr w:type="spellEnd"/>
      <w:r w:rsidRPr="00CE0424">
        <w:rPr>
          <w:sz w:val="32"/>
          <w:szCs w:val="32"/>
        </w:rPr>
        <w:t xml:space="preserve"> </w:t>
      </w:r>
      <w:r w:rsidR="00091557" w:rsidRPr="00CE0424">
        <w:rPr>
          <w:sz w:val="32"/>
          <w:szCs w:val="32"/>
        </w:rPr>
        <w:t>R2-</w:t>
      </w:r>
      <w:r w:rsidR="005317FA" w:rsidRPr="005317FA">
        <w:rPr>
          <w:sz w:val="32"/>
          <w:szCs w:val="32"/>
        </w:rPr>
        <w:t>2109120</w:t>
      </w:r>
    </w:p>
    <w:p w14:paraId="098C76A1" w14:textId="7975B5E3" w:rsidR="00E90E49" w:rsidRPr="00CE0424" w:rsidRDefault="00C268E6" w:rsidP="00311702">
      <w:pPr>
        <w:pStyle w:val="3GPPHeader"/>
      </w:pPr>
      <w:r>
        <w:t xml:space="preserve">Electronic meeting, </w:t>
      </w:r>
      <w:r w:rsidR="002270E9" w:rsidRPr="002270E9">
        <w:t>2021-0</w:t>
      </w:r>
      <w:r w:rsidR="002D3B5B">
        <w:t>8</w:t>
      </w:r>
      <w:r w:rsidR="002270E9" w:rsidRPr="002270E9">
        <w:t>-1</w:t>
      </w:r>
      <w:r w:rsidR="002D3B5B">
        <w:t>6</w:t>
      </w:r>
      <w:r w:rsidR="002270E9" w:rsidRPr="002270E9">
        <w:t xml:space="preserve"> - 2021-0</w:t>
      </w:r>
      <w:r w:rsidR="002D3B5B">
        <w:t>8</w:t>
      </w:r>
      <w:r w:rsidR="002270E9" w:rsidRPr="002270E9">
        <w:t>-27</w:t>
      </w:r>
    </w:p>
    <w:p w14:paraId="6CAFBF13" w14:textId="77777777" w:rsidR="00E90E49" w:rsidRPr="00CE0424" w:rsidRDefault="00E90E49" w:rsidP="00357380">
      <w:pPr>
        <w:pStyle w:val="3GPPHeader"/>
      </w:pPr>
    </w:p>
    <w:p w14:paraId="2D422BC6" w14:textId="6C7F3EDB" w:rsidR="00E90E49" w:rsidRPr="00CE0424" w:rsidRDefault="00E90E49" w:rsidP="00311702">
      <w:pPr>
        <w:pStyle w:val="3GPPHeader"/>
        <w:rPr>
          <w:sz w:val="22"/>
          <w:szCs w:val="22"/>
        </w:rPr>
      </w:pPr>
      <w:r w:rsidRPr="00CE0424">
        <w:rPr>
          <w:sz w:val="22"/>
          <w:szCs w:val="22"/>
        </w:rPr>
        <w:t>Agenda Item:</w:t>
      </w:r>
      <w:r w:rsidRPr="00CE0424">
        <w:rPr>
          <w:sz w:val="22"/>
          <w:szCs w:val="22"/>
        </w:rPr>
        <w:tab/>
      </w:r>
      <w:r w:rsidR="0017739B" w:rsidRPr="0017739B">
        <w:rPr>
          <w:sz w:val="22"/>
          <w:szCs w:val="22"/>
        </w:rPr>
        <w:t>8.22 (NR R17 Other)</w:t>
      </w:r>
    </w:p>
    <w:p w14:paraId="5E9605BF"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3C6760C8" w14:textId="095EE57D" w:rsidR="00E90E49" w:rsidRPr="00CE0424" w:rsidRDefault="003D3C45" w:rsidP="00311702">
      <w:pPr>
        <w:pStyle w:val="3GPPHeader"/>
        <w:rPr>
          <w:sz w:val="22"/>
          <w:szCs w:val="22"/>
        </w:rPr>
      </w:pPr>
      <w:r>
        <w:rPr>
          <w:sz w:val="22"/>
          <w:szCs w:val="22"/>
        </w:rPr>
        <w:t>Title:</w:t>
      </w:r>
      <w:r w:rsidR="00E90E49" w:rsidRPr="00CE0424">
        <w:rPr>
          <w:sz w:val="22"/>
          <w:szCs w:val="22"/>
        </w:rPr>
        <w:tab/>
      </w:r>
      <w:r w:rsidR="00C65A98">
        <w:rPr>
          <w:sz w:val="22"/>
          <w:szCs w:val="22"/>
        </w:rPr>
        <w:t xml:space="preserve">New band number for n77 DoD </w:t>
      </w:r>
    </w:p>
    <w:p w14:paraId="64F89DD0" w14:textId="77777777" w:rsidR="00E90E49" w:rsidRPr="00CE0424" w:rsidRDefault="00E90E49" w:rsidP="00D546FF">
      <w:pPr>
        <w:pStyle w:val="3GPPHeader"/>
        <w:rPr>
          <w:sz w:val="22"/>
          <w:szCs w:val="22"/>
        </w:rPr>
      </w:pPr>
      <w:r w:rsidRPr="00C65A98">
        <w:rPr>
          <w:sz w:val="22"/>
          <w:szCs w:val="22"/>
        </w:rPr>
        <w:t>Document for:</w:t>
      </w:r>
      <w:r w:rsidRPr="00C65A98">
        <w:rPr>
          <w:sz w:val="22"/>
          <w:szCs w:val="22"/>
        </w:rPr>
        <w:tab/>
        <w:t>Discussion, Decision</w:t>
      </w:r>
    </w:p>
    <w:p w14:paraId="30CB2781" w14:textId="77777777" w:rsidR="00E90E49" w:rsidRPr="00CE0424" w:rsidRDefault="00E90E49" w:rsidP="00E90E49"/>
    <w:p w14:paraId="7CB74BC3" w14:textId="77777777" w:rsidR="00E90E49" w:rsidRPr="00CE0424" w:rsidRDefault="00230D18" w:rsidP="00CE0424">
      <w:pPr>
        <w:pStyle w:val="Heading1"/>
      </w:pPr>
      <w:r>
        <w:t>1</w:t>
      </w:r>
      <w:r>
        <w:tab/>
      </w:r>
      <w:r w:rsidR="00E90E49" w:rsidRPr="00CE0424">
        <w:t>Introduction</w:t>
      </w:r>
    </w:p>
    <w:p w14:paraId="612F2C34" w14:textId="68B8A73B" w:rsidR="00C65A98" w:rsidRDefault="00C65A98" w:rsidP="00C65A98">
      <w:pPr>
        <w:pStyle w:val="BodyText"/>
      </w:pPr>
      <w:r>
        <w:t>So far, the FCC certified UEs supporting band n77 only for use in the ‘C-band’ (3700-3980 MHz) but not for operation in the band 3450-3550 MHz that was recently made available by the FCC.</w:t>
      </w:r>
    </w:p>
    <w:p w14:paraId="69BFA885" w14:textId="10C40EED" w:rsidR="00C65A98" w:rsidRDefault="00C65A98" w:rsidP="00C65A98">
      <w:pPr>
        <w:pStyle w:val="BodyText"/>
      </w:pPr>
      <w:r>
        <w:t xml:space="preserve">If cells in the new frequency range would broadcast the n77 band number, both legacy UEs (not allowed in 3450-3550 MHz) and newly certified UEs (allowed to operate in 3450-3550 MHz) may access those cells. Also, during intra- and inter-frequency mobility, during inter-RAT mobility and upon configuration of CA or (EN-)DC such legacy UEs could mistakenly be configured with a serving cell in the new frequency range since the network cannot distinguish new UEs from legacy UEs. </w:t>
      </w:r>
    </w:p>
    <w:p w14:paraId="0C989A66" w14:textId="3613D354" w:rsidR="00C65A98" w:rsidRDefault="00C65A98" w:rsidP="00C65A98">
      <w:pPr>
        <w:pStyle w:val="BodyText"/>
      </w:pPr>
      <w:r>
        <w:t>To comply with the FCC regulations the legacy UEs must be prevented from operating on serving cells in the new frequency range. Newly certified UEs should be allowed to access them.</w:t>
      </w:r>
    </w:p>
    <w:p w14:paraId="1EE2781F" w14:textId="3ED0A450" w:rsidR="00477768" w:rsidRDefault="00C65A98" w:rsidP="00CE0424">
      <w:pPr>
        <w:pStyle w:val="BodyText"/>
      </w:pPr>
      <w:r>
        <w:t xml:space="preserve">In this paper we summarize how support for the DoD band could be supported by defining a new band number. </w:t>
      </w:r>
    </w:p>
    <w:p w14:paraId="653C6475" w14:textId="59E90C75" w:rsidR="00C65A98" w:rsidRPr="00CE0424" w:rsidRDefault="00C65A98" w:rsidP="00CE0424">
      <w:pPr>
        <w:pStyle w:val="BodyText"/>
      </w:pPr>
      <w:r>
        <w:t>We also compare this approach to other solutions.</w:t>
      </w:r>
    </w:p>
    <w:p w14:paraId="7126EF89" w14:textId="77777777" w:rsidR="004000E8" w:rsidRPr="00CE0424" w:rsidRDefault="00230D18" w:rsidP="00CE0424">
      <w:pPr>
        <w:pStyle w:val="Heading1"/>
      </w:pPr>
      <w:bookmarkStart w:id="0" w:name="_Ref178064866"/>
      <w:r>
        <w:t>2</w:t>
      </w:r>
      <w:r>
        <w:tab/>
      </w:r>
      <w:r w:rsidR="004000E8" w:rsidRPr="00CE0424">
        <w:t>Discussion</w:t>
      </w:r>
      <w:bookmarkEnd w:id="0"/>
    </w:p>
    <w:p w14:paraId="7DC05666" w14:textId="549145BB" w:rsidR="00F63950" w:rsidRDefault="00230D18" w:rsidP="00F63950">
      <w:pPr>
        <w:pStyle w:val="Heading2"/>
      </w:pPr>
      <w:r>
        <w:t>2.1</w:t>
      </w:r>
      <w:r>
        <w:tab/>
      </w:r>
      <w:r w:rsidR="004F2161">
        <w:t>New band number – Same requirements</w:t>
      </w:r>
    </w:p>
    <w:p w14:paraId="3CFAEFC2" w14:textId="21E9408B" w:rsidR="004F2161" w:rsidRDefault="004F2161" w:rsidP="004F2161">
      <w:pPr>
        <w:pStyle w:val="BodyText"/>
      </w:pPr>
      <w:r>
        <w:t>We propose to introduce a new band n97 with the following properties:</w:t>
      </w:r>
    </w:p>
    <w:p w14:paraId="534C61A4" w14:textId="77777777" w:rsidR="004F2161" w:rsidRDefault="004F2161" w:rsidP="004F2161">
      <w:pPr>
        <w:pStyle w:val="BodyText"/>
        <w:numPr>
          <w:ilvl w:val="0"/>
          <w:numId w:val="24"/>
        </w:numPr>
      </w:pPr>
      <w:r>
        <w:t xml:space="preserve">n97 is a “copy” of n77 with identical radio requirements and frequency range. </w:t>
      </w:r>
    </w:p>
    <w:p w14:paraId="17DF2776" w14:textId="28AB3ACC" w:rsidR="001F1375" w:rsidRDefault="004F2161" w:rsidP="004F2161">
      <w:pPr>
        <w:pStyle w:val="BodyText"/>
        <w:numPr>
          <w:ilvl w:val="0"/>
          <w:numId w:val="24"/>
        </w:numPr>
      </w:pPr>
      <w:r>
        <w:t xml:space="preserve">No CA </w:t>
      </w:r>
      <w:r w:rsidR="00A7660D">
        <w:t xml:space="preserve">band combinations </w:t>
      </w:r>
      <w:r>
        <w:t xml:space="preserve">are specified for n97 but instead the band combinations including n77 are equally applicable when n77 is substituted by n97. </w:t>
      </w:r>
    </w:p>
    <w:p w14:paraId="0E70FD7D" w14:textId="11EFEB4E" w:rsidR="001F1375" w:rsidRDefault="001F1375" w:rsidP="001F1375">
      <w:pPr>
        <w:pStyle w:val="BodyText"/>
        <w:numPr>
          <w:ilvl w:val="1"/>
          <w:numId w:val="24"/>
        </w:numPr>
      </w:pPr>
      <w:r>
        <w:t>Inter-Band combinations including n77 and n97 are not defined and cannot be configured.</w:t>
      </w:r>
    </w:p>
    <w:p w14:paraId="074E7E5F" w14:textId="4BFB75C8" w:rsidR="004F2161" w:rsidRDefault="004F2161" w:rsidP="001F1375">
      <w:pPr>
        <w:pStyle w:val="BodyText"/>
        <w:numPr>
          <w:ilvl w:val="1"/>
          <w:numId w:val="24"/>
        </w:numPr>
      </w:pPr>
      <w:r>
        <w:t>Note that RAN4 did the same was for n90: The BC tables in 38.101-1 and 38.101-3 do not contain any entries with n90 but all combinations that are defined with n41 are considered to exist with n41 substituted by n90. This reduces the standardization effort in RAN4 substantially</w:t>
      </w:r>
    </w:p>
    <w:p w14:paraId="3C291790" w14:textId="36EDE034" w:rsidR="004F2161" w:rsidRDefault="004F2161" w:rsidP="004F2161">
      <w:pPr>
        <w:pStyle w:val="BodyText"/>
        <w:numPr>
          <w:ilvl w:val="0"/>
          <w:numId w:val="23"/>
        </w:numPr>
      </w:pPr>
      <w:r>
        <w:t>To avoid that the size of the capability container increases due to reporting BCs with n77 as well as BCs with n97 the following rules should be applied:</w:t>
      </w:r>
    </w:p>
    <w:p w14:paraId="2A20307C" w14:textId="3126E4ED" w:rsidR="004F2161" w:rsidRDefault="004F2161" w:rsidP="004F2161">
      <w:pPr>
        <w:pStyle w:val="BodyText"/>
        <w:numPr>
          <w:ilvl w:val="1"/>
          <w:numId w:val="23"/>
        </w:numPr>
      </w:pPr>
      <w:r>
        <w:t xml:space="preserve">UEs listing n97 in the </w:t>
      </w:r>
      <w:proofErr w:type="spellStart"/>
      <w:r>
        <w:t>supportedBandList</w:t>
      </w:r>
      <w:proofErr w:type="spellEnd"/>
      <w:r>
        <w:t xml:space="preserve"> shall also list n77 therein. </w:t>
      </w:r>
    </w:p>
    <w:p w14:paraId="73F4F2AD" w14:textId="47D1DA94" w:rsidR="001F1375" w:rsidRDefault="001E6E38" w:rsidP="001F1375">
      <w:pPr>
        <w:pStyle w:val="BodyText"/>
        <w:numPr>
          <w:ilvl w:val="1"/>
          <w:numId w:val="23"/>
        </w:numPr>
      </w:pPr>
      <w:r>
        <w:t xml:space="preserve">UEs supporting n97 shall support all band combinations </w:t>
      </w:r>
      <w:r w:rsidR="00111E40">
        <w:t xml:space="preserve">with n77 </w:t>
      </w:r>
      <w:r>
        <w:t xml:space="preserve">that they </w:t>
      </w:r>
      <w:r w:rsidR="00111E40">
        <w:t>list</w:t>
      </w:r>
      <w:r>
        <w:t xml:space="preserve"> in the </w:t>
      </w:r>
      <w:proofErr w:type="spellStart"/>
      <w:r>
        <w:t>supportedBandCombinationList</w:t>
      </w:r>
      <w:proofErr w:type="spellEnd"/>
      <w:r>
        <w:t xml:space="preserve"> equally for n97, i.e., when substituting n77 by n97. However, a gNB should never ask for n97 in the capability enquiry filter and a </w:t>
      </w:r>
      <w:r w:rsidR="004F2161">
        <w:t>UE</w:t>
      </w:r>
      <w:r>
        <w:t xml:space="preserve"> should not report those BCs with n97 explicitly in its </w:t>
      </w:r>
      <w:proofErr w:type="spellStart"/>
      <w:r w:rsidR="004F2161">
        <w:t>supportedBandCombinationList</w:t>
      </w:r>
      <w:proofErr w:type="spellEnd"/>
      <w:r w:rsidR="004F2161">
        <w:t>.</w:t>
      </w:r>
    </w:p>
    <w:p w14:paraId="43247BC5" w14:textId="66F646D8" w:rsidR="00F63950" w:rsidRDefault="00230D18" w:rsidP="00F63950">
      <w:pPr>
        <w:pStyle w:val="Heading2"/>
      </w:pPr>
      <w:r>
        <w:lastRenderedPageBreak/>
        <w:t>2.2</w:t>
      </w:r>
      <w:r>
        <w:tab/>
      </w:r>
      <w:r w:rsidR="00E506CE">
        <w:t>Deploying cells in DoD</w:t>
      </w:r>
    </w:p>
    <w:p w14:paraId="51D0CE1A" w14:textId="2EA4FDA7" w:rsidR="001F1375" w:rsidRDefault="001F1375" w:rsidP="001F1375">
      <w:pPr>
        <w:pStyle w:val="BodyText"/>
      </w:pPr>
      <w:r>
        <w:t>We envision the following network configuration to enable the desired functionality:</w:t>
      </w:r>
    </w:p>
    <w:p w14:paraId="58B6069E" w14:textId="310AE8F5" w:rsidR="001F1375" w:rsidRPr="001F1375" w:rsidRDefault="001F1375" w:rsidP="001F1375">
      <w:pPr>
        <w:pStyle w:val="BodyText"/>
        <w:numPr>
          <w:ilvl w:val="0"/>
          <w:numId w:val="23"/>
        </w:numPr>
        <w:rPr>
          <w:b/>
          <w:bCs/>
        </w:rPr>
      </w:pPr>
      <w:r w:rsidRPr="001F1375">
        <w:rPr>
          <w:b/>
          <w:bCs/>
        </w:rPr>
        <w:t>A cell in the new DoD frequency range 3450-3550 MHz broadcasts only n97.</w:t>
      </w:r>
    </w:p>
    <w:p w14:paraId="4865DF0C" w14:textId="6C466663" w:rsidR="00BA16A3" w:rsidRDefault="00BA16A3" w:rsidP="00BA16A3">
      <w:pPr>
        <w:pStyle w:val="BodyText"/>
        <w:numPr>
          <w:ilvl w:val="1"/>
          <w:numId w:val="23"/>
        </w:numPr>
      </w:pPr>
      <w:r>
        <w:t xml:space="preserve">This avoids that legacy UEs (not supporting the DoD band) can access the cell and that a gNB attempts an inter-frequency handover or an SCell configuration with that cell. </w:t>
      </w:r>
    </w:p>
    <w:p w14:paraId="63D2D1E2" w14:textId="020BA9A2" w:rsidR="00BA16A3" w:rsidRDefault="00BA16A3" w:rsidP="00BA16A3">
      <w:pPr>
        <w:pStyle w:val="BodyText"/>
        <w:numPr>
          <w:ilvl w:val="1"/>
          <w:numId w:val="23"/>
        </w:numPr>
      </w:pPr>
      <w:r>
        <w:t>New UEs supporting the band can access the cell according to existing rules. The gNB may trigger an inter-frequency handover to the cell or configure it as SCell.</w:t>
      </w:r>
    </w:p>
    <w:p w14:paraId="68462E29" w14:textId="77777777" w:rsidR="001F1375" w:rsidRDefault="001F1375" w:rsidP="001F1375">
      <w:pPr>
        <w:pStyle w:val="BodyText"/>
        <w:numPr>
          <w:ilvl w:val="0"/>
          <w:numId w:val="23"/>
        </w:numPr>
      </w:pPr>
      <w:r>
        <w:t>A cell in the existing C-band broadcasts both, n77 and n97</w:t>
      </w:r>
    </w:p>
    <w:p w14:paraId="0E23E7DB" w14:textId="2E14AC42" w:rsidR="001F1375" w:rsidRDefault="001F1375" w:rsidP="001F1375">
      <w:pPr>
        <w:pStyle w:val="BodyText"/>
        <w:numPr>
          <w:ilvl w:val="1"/>
          <w:numId w:val="23"/>
        </w:numPr>
      </w:pPr>
      <w:r>
        <w:t>L</w:t>
      </w:r>
      <w:r w:rsidRPr="001F1375">
        <w:t>egacy UEs (supporting only n77) as well as new UEs (supporting n77 and n97) may access the cell</w:t>
      </w:r>
      <w:r w:rsidR="00BA16A3">
        <w:t xml:space="preserve">. Assuming that n97 is set as higher priority band (first in the SIB1 list), UEs supporting n97 will apply this when selecting the cell. Legacy UEs apply n77 when selecting the cell. </w:t>
      </w:r>
    </w:p>
    <w:p w14:paraId="73E2F133" w14:textId="4AF030EB" w:rsidR="001F1375" w:rsidRDefault="001F1375" w:rsidP="001F1375">
      <w:pPr>
        <w:pStyle w:val="BodyText"/>
        <w:numPr>
          <w:ilvl w:val="1"/>
          <w:numId w:val="23"/>
        </w:numPr>
      </w:pPr>
      <w:r>
        <w:t xml:space="preserve">Other </w:t>
      </w:r>
      <w:proofErr w:type="spellStart"/>
      <w:r>
        <w:t>gNBs</w:t>
      </w:r>
      <w:proofErr w:type="spellEnd"/>
      <w:r>
        <w:t xml:space="preserve"> and </w:t>
      </w:r>
      <w:proofErr w:type="spellStart"/>
      <w:r>
        <w:t>eNBs</w:t>
      </w:r>
      <w:proofErr w:type="spellEnd"/>
      <w:r>
        <w:t xml:space="preserve"> may trigger inter-frequency and inter-RAT handovers </w:t>
      </w:r>
      <w:r w:rsidR="00BA16A3">
        <w:t xml:space="preserve">for UEs supporting only n77 as well as for UEs supporting also n97. The target gNB will, based on the band priority, configure n97 for new UEs and n77 for legacy UEs. </w:t>
      </w:r>
    </w:p>
    <w:p w14:paraId="5E4E7FDC" w14:textId="77777777" w:rsidR="00EE7E9F" w:rsidRDefault="00BA16A3" w:rsidP="00BA16A3">
      <w:pPr>
        <w:pStyle w:val="BodyText"/>
        <w:numPr>
          <w:ilvl w:val="0"/>
          <w:numId w:val="23"/>
        </w:numPr>
      </w:pPr>
      <w:r>
        <w:t xml:space="preserve">If the gNB operates a cell on the DoD band (n97) and another cell on the C-Band (n77 + n97) it may configure </w:t>
      </w:r>
      <w:r w:rsidR="00EE7E9F">
        <w:t xml:space="preserve">the UE for intra-band CA using n97(2A). </w:t>
      </w:r>
    </w:p>
    <w:p w14:paraId="7B918075" w14:textId="2C578065" w:rsidR="00BA16A3" w:rsidRDefault="00EE7E9F" w:rsidP="00EE7E9F">
      <w:pPr>
        <w:pStyle w:val="BodyText"/>
        <w:numPr>
          <w:ilvl w:val="1"/>
          <w:numId w:val="23"/>
        </w:numPr>
      </w:pPr>
      <w:r>
        <w:t xml:space="preserve">As explained in section 2.1, the UE does not advertise band combinations with n97. Hence, in this example the gNB would verify that the UE lists n97 in the </w:t>
      </w:r>
      <w:proofErr w:type="spellStart"/>
      <w:r>
        <w:t>supportedBandList</w:t>
      </w:r>
      <w:proofErr w:type="spellEnd"/>
      <w:r>
        <w:t xml:space="preserve"> and then search for a BC n77(2A) in the UE’s </w:t>
      </w:r>
      <w:proofErr w:type="spellStart"/>
      <w:r>
        <w:t>supportedBandCombinationList</w:t>
      </w:r>
      <w:proofErr w:type="spellEnd"/>
      <w:r>
        <w:t xml:space="preserve">. </w:t>
      </w:r>
    </w:p>
    <w:p w14:paraId="2DF0CD7F" w14:textId="77777777" w:rsidR="001F1375" w:rsidRDefault="001F1375" w:rsidP="001F1375">
      <w:pPr>
        <w:pStyle w:val="BodyText"/>
      </w:pPr>
    </w:p>
    <w:p w14:paraId="52BFB70E" w14:textId="349E0754" w:rsidR="003B64BB" w:rsidRPr="003B64BB" w:rsidRDefault="003B64BB" w:rsidP="003B64BB">
      <w:pPr>
        <w:pStyle w:val="B1"/>
        <w:sectPr w:rsidR="003B64BB" w:rsidRPr="003B64BB">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1FDE7844" w14:textId="63712EB1" w:rsidR="00B409E0" w:rsidRDefault="00EE7E9F" w:rsidP="003B64BB">
      <w:pPr>
        <w:pStyle w:val="Heading2"/>
      </w:pPr>
      <w:r w:rsidRPr="00EE7E9F">
        <w:lastRenderedPageBreak/>
        <w:t>2.3</w:t>
      </w:r>
      <w:r w:rsidRPr="00EE7E9F">
        <w:tab/>
        <w:t>Comparison of solutions</w:t>
      </w:r>
    </w:p>
    <w:p w14:paraId="37C59765" w14:textId="712F1B53" w:rsidR="005F3025" w:rsidRPr="00CE0424" w:rsidRDefault="00EE7E9F" w:rsidP="00EE7E9F">
      <w:pPr>
        <w:pStyle w:val="BodyText"/>
      </w:pPr>
      <w:r>
        <w:t xml:space="preserve">The following table shows a brief comparison of the different options that have been proposed. </w:t>
      </w:r>
      <w:bookmarkStart w:id="1" w:name="_Ref174151459"/>
      <w:bookmarkStart w:id="2" w:name="_Ref189809556"/>
      <w:r>
        <w:t xml:space="preserve">The possibility to use a new band number is covered in the last two rows of the table. </w:t>
      </w:r>
    </w:p>
    <w:bookmarkEnd w:id="1"/>
    <w:bookmarkEnd w:id="2"/>
    <w:tbl>
      <w:tblPr>
        <w:tblStyle w:val="TableGrid"/>
        <w:tblW w:w="0" w:type="auto"/>
        <w:tblLook w:val="04A0" w:firstRow="1" w:lastRow="0" w:firstColumn="1" w:lastColumn="0" w:noHBand="0" w:noVBand="1"/>
      </w:tblPr>
      <w:tblGrid>
        <w:gridCol w:w="2664"/>
        <w:gridCol w:w="2664"/>
        <w:gridCol w:w="2664"/>
        <w:gridCol w:w="2664"/>
        <w:gridCol w:w="3231"/>
      </w:tblGrid>
      <w:tr w:rsidR="00EE7E9F" w:rsidRPr="008C57FD" w14:paraId="41EBD0F4" w14:textId="77777777" w:rsidTr="00511B8C">
        <w:tc>
          <w:tcPr>
            <w:tcW w:w="2664" w:type="dxa"/>
          </w:tcPr>
          <w:p w14:paraId="676569BF" w14:textId="77777777" w:rsidR="00EE7E9F" w:rsidRPr="008C57FD" w:rsidRDefault="00EE7E9F" w:rsidP="00511B8C">
            <w:pPr>
              <w:rPr>
                <w:b/>
                <w:bCs/>
                <w:sz w:val="20"/>
                <w:szCs w:val="20"/>
              </w:rPr>
            </w:pPr>
          </w:p>
        </w:tc>
        <w:tc>
          <w:tcPr>
            <w:tcW w:w="2664" w:type="dxa"/>
          </w:tcPr>
          <w:p w14:paraId="3896ABA4" w14:textId="77777777" w:rsidR="00EE7E9F" w:rsidRPr="008C57FD" w:rsidRDefault="00EE7E9F" w:rsidP="00511B8C">
            <w:pPr>
              <w:rPr>
                <w:b/>
                <w:bCs/>
                <w:sz w:val="20"/>
                <w:szCs w:val="20"/>
              </w:rPr>
            </w:pPr>
            <w:r w:rsidRPr="008C57FD">
              <w:rPr>
                <w:b/>
                <w:bCs/>
                <w:sz w:val="20"/>
                <w:szCs w:val="20"/>
              </w:rPr>
              <w:t>Initial Access</w:t>
            </w:r>
          </w:p>
        </w:tc>
        <w:tc>
          <w:tcPr>
            <w:tcW w:w="2664" w:type="dxa"/>
          </w:tcPr>
          <w:p w14:paraId="07437199" w14:textId="77777777" w:rsidR="00EE7E9F" w:rsidRPr="008C57FD" w:rsidRDefault="00EE7E9F" w:rsidP="00511B8C">
            <w:pPr>
              <w:rPr>
                <w:b/>
                <w:bCs/>
                <w:sz w:val="20"/>
                <w:szCs w:val="20"/>
              </w:rPr>
            </w:pPr>
            <w:r w:rsidRPr="008C57FD">
              <w:rPr>
                <w:b/>
                <w:bCs/>
                <w:sz w:val="20"/>
                <w:szCs w:val="20"/>
              </w:rPr>
              <w:t>Mobility and SCell addition</w:t>
            </w:r>
          </w:p>
        </w:tc>
        <w:tc>
          <w:tcPr>
            <w:tcW w:w="2664" w:type="dxa"/>
          </w:tcPr>
          <w:p w14:paraId="4169A4D8" w14:textId="77777777" w:rsidR="00EE7E9F" w:rsidRPr="008C57FD" w:rsidRDefault="00EE7E9F" w:rsidP="00511B8C">
            <w:pPr>
              <w:rPr>
                <w:b/>
                <w:bCs/>
                <w:sz w:val="20"/>
                <w:szCs w:val="20"/>
              </w:rPr>
            </w:pPr>
            <w:r w:rsidRPr="008C57FD">
              <w:rPr>
                <w:b/>
                <w:bCs/>
                <w:sz w:val="20"/>
                <w:szCs w:val="20"/>
              </w:rPr>
              <w:t xml:space="preserve">Mobility from EUTRA </w:t>
            </w:r>
          </w:p>
          <w:p w14:paraId="0CE5B708" w14:textId="77777777" w:rsidR="00EE7E9F" w:rsidRPr="008C57FD" w:rsidRDefault="00EE7E9F" w:rsidP="00511B8C">
            <w:pPr>
              <w:rPr>
                <w:b/>
                <w:bCs/>
                <w:sz w:val="20"/>
                <w:szCs w:val="20"/>
              </w:rPr>
            </w:pPr>
            <w:r w:rsidRPr="008C57FD">
              <w:rPr>
                <w:b/>
                <w:bCs/>
                <w:sz w:val="20"/>
                <w:szCs w:val="20"/>
              </w:rPr>
              <w:t>&amp; EN-DC</w:t>
            </w:r>
          </w:p>
        </w:tc>
        <w:tc>
          <w:tcPr>
            <w:tcW w:w="3231" w:type="dxa"/>
          </w:tcPr>
          <w:p w14:paraId="63AB6919" w14:textId="77777777" w:rsidR="00EE7E9F" w:rsidRPr="008C57FD" w:rsidRDefault="00EE7E9F" w:rsidP="00511B8C">
            <w:pPr>
              <w:rPr>
                <w:b/>
                <w:bCs/>
                <w:sz w:val="20"/>
                <w:szCs w:val="20"/>
              </w:rPr>
            </w:pPr>
            <w:r w:rsidRPr="008C57FD">
              <w:rPr>
                <w:b/>
                <w:bCs/>
                <w:sz w:val="20"/>
                <w:szCs w:val="20"/>
              </w:rPr>
              <w:t>Notes</w:t>
            </w:r>
          </w:p>
        </w:tc>
      </w:tr>
      <w:tr w:rsidR="00EE7E9F" w:rsidRPr="00696B21" w14:paraId="76572C1C" w14:textId="77777777" w:rsidTr="00511B8C">
        <w:tc>
          <w:tcPr>
            <w:tcW w:w="2664" w:type="dxa"/>
          </w:tcPr>
          <w:p w14:paraId="78C2AEE6" w14:textId="0EE9C677" w:rsidR="00EE7E9F" w:rsidRPr="00573CC1" w:rsidRDefault="00EE7E9F" w:rsidP="00511B8C">
            <w:pPr>
              <w:rPr>
                <w:b/>
                <w:bCs/>
              </w:rPr>
            </w:pPr>
            <w:r>
              <w:rPr>
                <w:b/>
                <w:bCs/>
              </w:rPr>
              <w:t>No change</w:t>
            </w:r>
            <w:r w:rsidR="00EE02C0">
              <w:rPr>
                <w:b/>
                <w:bCs/>
              </w:rPr>
              <w:br/>
              <w:t>(no solution)</w:t>
            </w:r>
          </w:p>
        </w:tc>
        <w:tc>
          <w:tcPr>
            <w:tcW w:w="2664" w:type="dxa"/>
          </w:tcPr>
          <w:p w14:paraId="5FBCB207" w14:textId="63671F03" w:rsidR="00EE7E9F" w:rsidRPr="00F16BE5" w:rsidRDefault="00EE7E9F" w:rsidP="00511B8C">
            <w:pPr>
              <w:rPr>
                <w:color w:val="FF0000"/>
              </w:rPr>
            </w:pPr>
            <w:r w:rsidRPr="00F16BE5">
              <w:rPr>
                <w:color w:val="FF0000"/>
                <w:sz w:val="20"/>
                <w:szCs w:val="20"/>
              </w:rPr>
              <w:t>Does not prevent access by non-certified UEs</w:t>
            </w:r>
            <w:r>
              <w:rPr>
                <w:color w:val="FF0000"/>
                <w:sz w:val="20"/>
                <w:szCs w:val="20"/>
              </w:rPr>
              <w:t>.</w:t>
            </w:r>
          </w:p>
        </w:tc>
        <w:tc>
          <w:tcPr>
            <w:tcW w:w="2664" w:type="dxa"/>
          </w:tcPr>
          <w:p w14:paraId="650695C6" w14:textId="14AFE715" w:rsidR="00EE7E9F" w:rsidRPr="00A16819" w:rsidRDefault="00EE7E9F" w:rsidP="00511B8C">
            <w:pPr>
              <w:rPr>
                <w:color w:val="ED7D31" w:themeColor="accent2"/>
              </w:rPr>
            </w:pPr>
            <w:r w:rsidRPr="00A16819">
              <w:rPr>
                <w:color w:val="FF0000"/>
                <w:sz w:val="20"/>
                <w:szCs w:val="20"/>
              </w:rPr>
              <w:t xml:space="preserve">Cannot be used (gNB </w:t>
            </w:r>
            <w:r>
              <w:rPr>
                <w:color w:val="FF0000"/>
                <w:sz w:val="20"/>
                <w:szCs w:val="20"/>
              </w:rPr>
              <w:t>cannot distinguish legacy UEs from new UEs and would have to avoid HO and CA for any such UEs</w:t>
            </w:r>
            <w:r w:rsidRPr="00A16819">
              <w:rPr>
                <w:color w:val="FF0000"/>
                <w:sz w:val="20"/>
                <w:szCs w:val="20"/>
              </w:rPr>
              <w:t>)</w:t>
            </w:r>
          </w:p>
        </w:tc>
        <w:tc>
          <w:tcPr>
            <w:tcW w:w="2664" w:type="dxa"/>
          </w:tcPr>
          <w:p w14:paraId="48ACC7F6" w14:textId="2D7783E5" w:rsidR="00EE7E9F" w:rsidRPr="00A16819" w:rsidRDefault="00EE7E9F" w:rsidP="00511B8C">
            <w:pPr>
              <w:rPr>
                <w:color w:val="ED7D31" w:themeColor="accent2"/>
              </w:rPr>
            </w:pPr>
            <w:r w:rsidRPr="00A16819">
              <w:rPr>
                <w:color w:val="ED7D31" w:themeColor="accent2"/>
                <w:sz w:val="20"/>
                <w:szCs w:val="20"/>
              </w:rPr>
              <w:t>eNB unaware (gNB rejects incoming request)</w:t>
            </w:r>
          </w:p>
        </w:tc>
        <w:tc>
          <w:tcPr>
            <w:tcW w:w="3231" w:type="dxa"/>
          </w:tcPr>
          <w:p w14:paraId="27800BF3" w14:textId="77777777" w:rsidR="00EE7E9F" w:rsidRPr="00A16819" w:rsidRDefault="00EE7E9F" w:rsidP="00511B8C">
            <w:pPr>
              <w:rPr>
                <w:color w:val="ED7D31" w:themeColor="accent2"/>
              </w:rPr>
            </w:pPr>
          </w:p>
        </w:tc>
      </w:tr>
      <w:tr w:rsidR="00EE7E9F" w:rsidRPr="00696B21" w14:paraId="12C45680" w14:textId="77777777" w:rsidTr="00511B8C">
        <w:tc>
          <w:tcPr>
            <w:tcW w:w="2664" w:type="dxa"/>
          </w:tcPr>
          <w:p w14:paraId="0EBBF790" w14:textId="77777777" w:rsidR="00EE7E9F" w:rsidRDefault="00EE7E9F" w:rsidP="00511B8C">
            <w:pPr>
              <w:rPr>
                <w:sz w:val="20"/>
                <w:szCs w:val="20"/>
              </w:rPr>
            </w:pPr>
            <w:r w:rsidRPr="00573CC1">
              <w:rPr>
                <w:b/>
                <w:bCs/>
                <w:sz w:val="20"/>
                <w:szCs w:val="20"/>
              </w:rPr>
              <w:t>Capability bit</w:t>
            </w:r>
            <w:r w:rsidRPr="00573CC1">
              <w:rPr>
                <w:sz w:val="20"/>
                <w:szCs w:val="20"/>
              </w:rPr>
              <w:t xml:space="preserve"> </w:t>
            </w:r>
          </w:p>
          <w:p w14:paraId="5C14F766" w14:textId="77777777" w:rsidR="00EE7E9F" w:rsidRPr="00573CC1" w:rsidRDefault="00EE7E9F" w:rsidP="00511B8C">
            <w:pPr>
              <w:rPr>
                <w:sz w:val="20"/>
                <w:szCs w:val="20"/>
              </w:rPr>
            </w:pPr>
            <w:r w:rsidRPr="00573CC1">
              <w:rPr>
                <w:sz w:val="20"/>
                <w:szCs w:val="20"/>
              </w:rPr>
              <w:t>in UE-NR-Capabilities</w:t>
            </w:r>
          </w:p>
        </w:tc>
        <w:tc>
          <w:tcPr>
            <w:tcW w:w="2664" w:type="dxa"/>
          </w:tcPr>
          <w:p w14:paraId="2B63E4B7" w14:textId="77777777" w:rsidR="00EE7E9F" w:rsidRPr="00F16BE5" w:rsidRDefault="00EE7E9F" w:rsidP="00511B8C">
            <w:pPr>
              <w:rPr>
                <w:color w:val="FF0000"/>
                <w:sz w:val="20"/>
                <w:szCs w:val="20"/>
              </w:rPr>
            </w:pPr>
            <w:r w:rsidRPr="00F16BE5">
              <w:rPr>
                <w:color w:val="FF0000"/>
                <w:sz w:val="20"/>
                <w:szCs w:val="20"/>
              </w:rPr>
              <w:t>Does not prevent access by non-certified UEs.</w:t>
            </w:r>
          </w:p>
        </w:tc>
        <w:tc>
          <w:tcPr>
            <w:tcW w:w="2664" w:type="dxa"/>
          </w:tcPr>
          <w:p w14:paraId="324A0019" w14:textId="77777777" w:rsidR="00EE7E9F" w:rsidRPr="00A16819" w:rsidRDefault="00EE7E9F" w:rsidP="00511B8C">
            <w:pPr>
              <w:rPr>
                <w:color w:val="ED7D31" w:themeColor="accent2"/>
                <w:sz w:val="20"/>
                <w:szCs w:val="20"/>
              </w:rPr>
            </w:pPr>
            <w:r w:rsidRPr="00A16819">
              <w:rPr>
                <w:color w:val="ED7D31" w:themeColor="accent2"/>
                <w:sz w:val="20"/>
                <w:szCs w:val="20"/>
              </w:rPr>
              <w:t>Possible but additional implementation required</w:t>
            </w:r>
          </w:p>
        </w:tc>
        <w:tc>
          <w:tcPr>
            <w:tcW w:w="2664" w:type="dxa"/>
          </w:tcPr>
          <w:p w14:paraId="5BF27AB9" w14:textId="77777777" w:rsidR="00EE7E9F" w:rsidRPr="00A16819" w:rsidRDefault="00EE7E9F" w:rsidP="00511B8C">
            <w:pPr>
              <w:rPr>
                <w:color w:val="ED7D31" w:themeColor="accent2"/>
                <w:sz w:val="20"/>
                <w:szCs w:val="20"/>
              </w:rPr>
            </w:pPr>
            <w:r w:rsidRPr="00A16819">
              <w:rPr>
                <w:color w:val="ED7D31" w:themeColor="accent2"/>
                <w:sz w:val="20"/>
                <w:szCs w:val="20"/>
              </w:rPr>
              <w:t>eNB unaware (gNB rejects incoming request)</w:t>
            </w:r>
          </w:p>
        </w:tc>
        <w:tc>
          <w:tcPr>
            <w:tcW w:w="3231" w:type="dxa"/>
          </w:tcPr>
          <w:p w14:paraId="005AFB87" w14:textId="77777777" w:rsidR="00EE7E9F" w:rsidRPr="00A16819" w:rsidRDefault="00EE7E9F" w:rsidP="00511B8C">
            <w:pPr>
              <w:rPr>
                <w:color w:val="ED7D31" w:themeColor="accent2"/>
                <w:sz w:val="20"/>
                <w:szCs w:val="20"/>
              </w:rPr>
            </w:pPr>
            <w:r w:rsidRPr="00A16819">
              <w:rPr>
                <w:color w:val="ED7D31" w:themeColor="accent2"/>
                <w:sz w:val="20"/>
                <w:szCs w:val="20"/>
              </w:rPr>
              <w:t>ASN.1 change required.</w:t>
            </w:r>
          </w:p>
          <w:p w14:paraId="3D70283C" w14:textId="77777777" w:rsidR="00EE7E9F" w:rsidRPr="00696B21" w:rsidRDefault="00EE7E9F" w:rsidP="00511B8C">
            <w:pPr>
              <w:rPr>
                <w:sz w:val="20"/>
                <w:szCs w:val="20"/>
              </w:rPr>
            </w:pPr>
          </w:p>
        </w:tc>
      </w:tr>
      <w:tr w:rsidR="00EE7E9F" w:rsidRPr="00696B21" w14:paraId="40F7B686" w14:textId="77777777" w:rsidTr="00511B8C">
        <w:tc>
          <w:tcPr>
            <w:tcW w:w="2664" w:type="dxa"/>
          </w:tcPr>
          <w:p w14:paraId="1137200E" w14:textId="77777777" w:rsidR="00EE7E9F" w:rsidRDefault="00EE7E9F" w:rsidP="00511B8C">
            <w:pPr>
              <w:rPr>
                <w:sz w:val="20"/>
                <w:szCs w:val="20"/>
              </w:rPr>
            </w:pPr>
            <w:r w:rsidRPr="00573CC1">
              <w:rPr>
                <w:b/>
                <w:bCs/>
                <w:sz w:val="20"/>
                <w:szCs w:val="20"/>
              </w:rPr>
              <w:t>Capability bit</w:t>
            </w:r>
            <w:r w:rsidRPr="00573CC1">
              <w:rPr>
                <w:sz w:val="20"/>
                <w:szCs w:val="20"/>
              </w:rPr>
              <w:t xml:space="preserve"> </w:t>
            </w:r>
          </w:p>
          <w:p w14:paraId="0AD56B5E" w14:textId="77777777" w:rsidR="00EE7E9F" w:rsidRDefault="00EE7E9F" w:rsidP="00511B8C">
            <w:pPr>
              <w:rPr>
                <w:sz w:val="20"/>
                <w:szCs w:val="20"/>
              </w:rPr>
            </w:pPr>
            <w:r w:rsidRPr="00573CC1">
              <w:rPr>
                <w:sz w:val="20"/>
                <w:szCs w:val="20"/>
              </w:rPr>
              <w:t xml:space="preserve">in UE-NR-Capabilities and </w:t>
            </w:r>
          </w:p>
          <w:p w14:paraId="3884A40E" w14:textId="77777777" w:rsidR="00EE7E9F" w:rsidRPr="00573CC1" w:rsidRDefault="00EE7E9F" w:rsidP="00511B8C">
            <w:pPr>
              <w:rPr>
                <w:sz w:val="20"/>
                <w:szCs w:val="20"/>
              </w:rPr>
            </w:pPr>
            <w:r w:rsidRPr="00573CC1">
              <w:rPr>
                <w:sz w:val="20"/>
                <w:szCs w:val="20"/>
              </w:rPr>
              <w:t>in UE-EUTRA-Capabilities</w:t>
            </w:r>
          </w:p>
        </w:tc>
        <w:tc>
          <w:tcPr>
            <w:tcW w:w="2664" w:type="dxa"/>
          </w:tcPr>
          <w:p w14:paraId="53967BAF" w14:textId="77777777" w:rsidR="00EE7E9F" w:rsidRPr="00F16BE5" w:rsidRDefault="00EE7E9F" w:rsidP="00511B8C">
            <w:pPr>
              <w:rPr>
                <w:color w:val="FF0000"/>
                <w:sz w:val="20"/>
                <w:szCs w:val="20"/>
              </w:rPr>
            </w:pPr>
            <w:r w:rsidRPr="00F16BE5">
              <w:rPr>
                <w:color w:val="FF0000"/>
                <w:sz w:val="20"/>
                <w:szCs w:val="20"/>
              </w:rPr>
              <w:t>Does not prevent access by non-certified UEs.</w:t>
            </w:r>
          </w:p>
        </w:tc>
        <w:tc>
          <w:tcPr>
            <w:tcW w:w="2664" w:type="dxa"/>
          </w:tcPr>
          <w:p w14:paraId="4F13D72B" w14:textId="77777777" w:rsidR="00EE7E9F" w:rsidRPr="00A16819" w:rsidRDefault="00EE7E9F" w:rsidP="00511B8C">
            <w:pPr>
              <w:rPr>
                <w:color w:val="ED7D31" w:themeColor="accent2"/>
                <w:sz w:val="20"/>
                <w:szCs w:val="20"/>
              </w:rPr>
            </w:pPr>
            <w:r w:rsidRPr="00A16819">
              <w:rPr>
                <w:color w:val="ED7D31" w:themeColor="accent2"/>
                <w:sz w:val="20"/>
                <w:szCs w:val="20"/>
              </w:rPr>
              <w:t>Possible but additional implementation required</w:t>
            </w:r>
          </w:p>
        </w:tc>
        <w:tc>
          <w:tcPr>
            <w:tcW w:w="2664" w:type="dxa"/>
          </w:tcPr>
          <w:p w14:paraId="47326A5B" w14:textId="77777777" w:rsidR="00EE7E9F" w:rsidRPr="00696B21" w:rsidRDefault="00EE7E9F" w:rsidP="00511B8C">
            <w:pPr>
              <w:rPr>
                <w:sz w:val="20"/>
                <w:szCs w:val="20"/>
              </w:rPr>
            </w:pPr>
            <w:r w:rsidRPr="00A16819">
              <w:rPr>
                <w:color w:val="ED7D31" w:themeColor="accent2"/>
                <w:sz w:val="20"/>
                <w:szCs w:val="20"/>
              </w:rPr>
              <w:t>Possible but additional implementation and configuration required also in eNB.</w:t>
            </w:r>
          </w:p>
        </w:tc>
        <w:tc>
          <w:tcPr>
            <w:tcW w:w="3231" w:type="dxa"/>
          </w:tcPr>
          <w:p w14:paraId="742707D0" w14:textId="77777777" w:rsidR="00EE7E9F" w:rsidRPr="00A16819" w:rsidRDefault="00EE7E9F" w:rsidP="00511B8C">
            <w:pPr>
              <w:rPr>
                <w:color w:val="ED7D31" w:themeColor="accent2"/>
                <w:sz w:val="20"/>
                <w:szCs w:val="20"/>
              </w:rPr>
            </w:pPr>
            <w:r w:rsidRPr="00A16819">
              <w:rPr>
                <w:color w:val="ED7D31" w:themeColor="accent2"/>
                <w:sz w:val="20"/>
                <w:szCs w:val="20"/>
              </w:rPr>
              <w:t>ASN.1 change required.</w:t>
            </w:r>
          </w:p>
          <w:p w14:paraId="18639FD7" w14:textId="77777777" w:rsidR="00EE7E9F" w:rsidRPr="00696B21" w:rsidRDefault="00EE7E9F" w:rsidP="00511B8C">
            <w:pPr>
              <w:rPr>
                <w:sz w:val="20"/>
                <w:szCs w:val="20"/>
              </w:rPr>
            </w:pPr>
          </w:p>
        </w:tc>
      </w:tr>
      <w:tr w:rsidR="00EE7E9F" w:rsidRPr="00696B21" w14:paraId="5FBFEBD8" w14:textId="77777777" w:rsidTr="00511B8C">
        <w:tc>
          <w:tcPr>
            <w:tcW w:w="2664" w:type="dxa"/>
          </w:tcPr>
          <w:p w14:paraId="7A220E17" w14:textId="77777777" w:rsidR="00EE7E9F" w:rsidRPr="00573CC1" w:rsidRDefault="00EE7E9F" w:rsidP="00511B8C">
            <w:pPr>
              <w:rPr>
                <w:sz w:val="20"/>
                <w:szCs w:val="20"/>
              </w:rPr>
            </w:pPr>
            <w:r w:rsidRPr="00573CC1">
              <w:rPr>
                <w:b/>
                <w:bCs/>
                <w:sz w:val="20"/>
                <w:szCs w:val="20"/>
              </w:rPr>
              <w:t>Modified MPR</w:t>
            </w:r>
            <w:r w:rsidRPr="00573CC1">
              <w:rPr>
                <w:sz w:val="20"/>
                <w:szCs w:val="20"/>
              </w:rPr>
              <w:t xml:space="preserve"> </w:t>
            </w:r>
            <w:r w:rsidRPr="00573CC1">
              <w:rPr>
                <w:b/>
                <w:bCs/>
                <w:sz w:val="20"/>
                <w:szCs w:val="20"/>
              </w:rPr>
              <w:t>behaviour</w:t>
            </w:r>
          </w:p>
        </w:tc>
        <w:tc>
          <w:tcPr>
            <w:tcW w:w="2664" w:type="dxa"/>
          </w:tcPr>
          <w:p w14:paraId="07837947" w14:textId="77777777" w:rsidR="00EE7E9F" w:rsidRPr="00F16BE5" w:rsidRDefault="00EE7E9F" w:rsidP="00511B8C">
            <w:pPr>
              <w:rPr>
                <w:color w:val="FF0000"/>
                <w:sz w:val="20"/>
                <w:szCs w:val="20"/>
              </w:rPr>
            </w:pPr>
            <w:r w:rsidRPr="00F16BE5">
              <w:rPr>
                <w:color w:val="FF0000"/>
                <w:sz w:val="20"/>
                <w:szCs w:val="20"/>
              </w:rPr>
              <w:t>Does not prevent access by non-certified UEs.</w:t>
            </w:r>
          </w:p>
        </w:tc>
        <w:tc>
          <w:tcPr>
            <w:tcW w:w="2664" w:type="dxa"/>
          </w:tcPr>
          <w:p w14:paraId="59D04214" w14:textId="77777777" w:rsidR="00EE7E9F" w:rsidRPr="00A16819" w:rsidRDefault="00EE7E9F" w:rsidP="00511B8C">
            <w:pPr>
              <w:rPr>
                <w:color w:val="ED7D31" w:themeColor="accent2"/>
                <w:sz w:val="20"/>
                <w:szCs w:val="20"/>
              </w:rPr>
            </w:pPr>
            <w:r w:rsidRPr="00A16819">
              <w:rPr>
                <w:color w:val="ED7D31" w:themeColor="accent2"/>
                <w:sz w:val="20"/>
                <w:szCs w:val="20"/>
              </w:rPr>
              <w:t>Possible but additional implementation required</w:t>
            </w:r>
          </w:p>
        </w:tc>
        <w:tc>
          <w:tcPr>
            <w:tcW w:w="2664" w:type="dxa"/>
          </w:tcPr>
          <w:p w14:paraId="2583D654" w14:textId="77777777" w:rsidR="00EE7E9F" w:rsidRPr="00696B21" w:rsidRDefault="00EE7E9F" w:rsidP="00511B8C">
            <w:pPr>
              <w:rPr>
                <w:sz w:val="20"/>
                <w:szCs w:val="20"/>
              </w:rPr>
            </w:pPr>
            <w:r w:rsidRPr="00A16819">
              <w:rPr>
                <w:color w:val="ED7D31" w:themeColor="accent2"/>
                <w:sz w:val="20"/>
                <w:szCs w:val="20"/>
              </w:rPr>
              <w:t>eNB unaware (gNB rejects incoming request)</w:t>
            </w:r>
          </w:p>
        </w:tc>
        <w:tc>
          <w:tcPr>
            <w:tcW w:w="3231" w:type="dxa"/>
          </w:tcPr>
          <w:p w14:paraId="4DC21EEB" w14:textId="77777777" w:rsidR="00EE7E9F" w:rsidRDefault="00EE7E9F" w:rsidP="00511B8C">
            <w:pPr>
              <w:rPr>
                <w:sz w:val="20"/>
                <w:szCs w:val="20"/>
              </w:rPr>
            </w:pPr>
            <w:r w:rsidRPr="00A16819">
              <w:rPr>
                <w:color w:val="70AD47" w:themeColor="accent6"/>
                <w:sz w:val="20"/>
                <w:szCs w:val="20"/>
              </w:rPr>
              <w:t>No ASN.1 change required.</w:t>
            </w:r>
          </w:p>
          <w:p w14:paraId="2B290560" w14:textId="77777777" w:rsidR="00EE7E9F" w:rsidRPr="00696B21" w:rsidRDefault="00EE7E9F" w:rsidP="00511B8C">
            <w:pPr>
              <w:rPr>
                <w:sz w:val="20"/>
                <w:szCs w:val="20"/>
              </w:rPr>
            </w:pPr>
            <w:r w:rsidRPr="00A16819">
              <w:rPr>
                <w:color w:val="ED7D31" w:themeColor="accent2"/>
                <w:sz w:val="20"/>
                <w:szCs w:val="20"/>
              </w:rPr>
              <w:t>Misuse of MPR and NS value.</w:t>
            </w:r>
          </w:p>
        </w:tc>
      </w:tr>
      <w:tr w:rsidR="00EE7E9F" w:rsidRPr="00696B21" w14:paraId="47CAE44B" w14:textId="77777777" w:rsidTr="00511B8C">
        <w:tc>
          <w:tcPr>
            <w:tcW w:w="2664" w:type="dxa"/>
          </w:tcPr>
          <w:p w14:paraId="60C7B19B" w14:textId="77777777" w:rsidR="00EE7E9F" w:rsidRPr="00573CC1" w:rsidRDefault="00EE7E9F" w:rsidP="00511B8C">
            <w:pPr>
              <w:rPr>
                <w:b/>
                <w:bCs/>
                <w:sz w:val="20"/>
                <w:szCs w:val="20"/>
              </w:rPr>
            </w:pPr>
            <w:r w:rsidRPr="00573CC1">
              <w:rPr>
                <w:b/>
                <w:bCs/>
                <w:sz w:val="20"/>
                <w:szCs w:val="20"/>
              </w:rPr>
              <w:t>New NS-Value</w:t>
            </w:r>
          </w:p>
        </w:tc>
        <w:tc>
          <w:tcPr>
            <w:tcW w:w="2664" w:type="dxa"/>
          </w:tcPr>
          <w:p w14:paraId="67F575FA" w14:textId="77777777" w:rsidR="00EE7E9F" w:rsidRDefault="00EE7E9F" w:rsidP="00511B8C">
            <w:pPr>
              <w:rPr>
                <w:color w:val="70AD47" w:themeColor="accent6"/>
                <w:sz w:val="20"/>
                <w:szCs w:val="20"/>
              </w:rPr>
            </w:pPr>
            <w:r w:rsidRPr="00F16BE5">
              <w:rPr>
                <w:color w:val="70AD47" w:themeColor="accent6"/>
                <w:sz w:val="20"/>
                <w:szCs w:val="20"/>
              </w:rPr>
              <w:t>Possible</w:t>
            </w:r>
          </w:p>
          <w:p w14:paraId="4EBBDC86" w14:textId="77777777" w:rsidR="00EE7E9F" w:rsidRPr="00F16BE5" w:rsidRDefault="00EE7E9F" w:rsidP="00511B8C">
            <w:pPr>
              <w:rPr>
                <w:color w:val="70AD47" w:themeColor="accent6"/>
                <w:sz w:val="20"/>
                <w:szCs w:val="20"/>
              </w:rPr>
            </w:pPr>
            <w:r>
              <w:rPr>
                <w:color w:val="70AD47" w:themeColor="accent6"/>
                <w:sz w:val="20"/>
                <w:szCs w:val="20"/>
              </w:rPr>
              <w:t xml:space="preserve">DoD cell broadcasts new NS-Value which prevents </w:t>
            </w:r>
            <w:r w:rsidRPr="00F16BE5">
              <w:rPr>
                <w:color w:val="70AD47" w:themeColor="accent6"/>
                <w:sz w:val="20"/>
                <w:szCs w:val="20"/>
              </w:rPr>
              <w:t xml:space="preserve">legacy UEs from accessing </w:t>
            </w:r>
            <w:r>
              <w:rPr>
                <w:color w:val="70AD47" w:themeColor="accent6"/>
                <w:sz w:val="20"/>
                <w:szCs w:val="20"/>
              </w:rPr>
              <w:t>it.</w:t>
            </w:r>
          </w:p>
        </w:tc>
        <w:tc>
          <w:tcPr>
            <w:tcW w:w="2664" w:type="dxa"/>
          </w:tcPr>
          <w:p w14:paraId="1807DF51" w14:textId="77777777" w:rsidR="00EE7E9F" w:rsidRPr="00A16819" w:rsidRDefault="00EE7E9F" w:rsidP="00511B8C">
            <w:pPr>
              <w:rPr>
                <w:color w:val="FF0000"/>
                <w:sz w:val="20"/>
                <w:szCs w:val="20"/>
              </w:rPr>
            </w:pPr>
            <w:r w:rsidRPr="00A16819">
              <w:rPr>
                <w:color w:val="FF0000"/>
                <w:sz w:val="20"/>
                <w:szCs w:val="20"/>
              </w:rPr>
              <w:t>Cannot be used (gNB unaware of supported NS values)</w:t>
            </w:r>
          </w:p>
        </w:tc>
        <w:tc>
          <w:tcPr>
            <w:tcW w:w="2664" w:type="dxa"/>
          </w:tcPr>
          <w:p w14:paraId="010EE9B7" w14:textId="77777777" w:rsidR="00EE7E9F" w:rsidRPr="00A16819" w:rsidRDefault="00EE7E9F" w:rsidP="00511B8C">
            <w:pPr>
              <w:rPr>
                <w:color w:val="FF0000"/>
                <w:sz w:val="20"/>
                <w:szCs w:val="20"/>
              </w:rPr>
            </w:pPr>
            <w:r w:rsidRPr="00A16819">
              <w:rPr>
                <w:color w:val="FF0000"/>
                <w:sz w:val="20"/>
                <w:szCs w:val="20"/>
              </w:rPr>
              <w:t>Cannot be used (eNB unaware of supported NS values)</w:t>
            </w:r>
          </w:p>
        </w:tc>
        <w:tc>
          <w:tcPr>
            <w:tcW w:w="3231" w:type="dxa"/>
          </w:tcPr>
          <w:p w14:paraId="3428C94E" w14:textId="77777777" w:rsidR="00EE7E9F" w:rsidRDefault="00EE7E9F" w:rsidP="00511B8C">
            <w:pPr>
              <w:rPr>
                <w:sz w:val="20"/>
                <w:szCs w:val="20"/>
              </w:rPr>
            </w:pPr>
            <w:r w:rsidRPr="00A16819">
              <w:rPr>
                <w:color w:val="70AD47" w:themeColor="accent6"/>
                <w:sz w:val="20"/>
                <w:szCs w:val="20"/>
              </w:rPr>
              <w:t>No ASN.1 change required.</w:t>
            </w:r>
          </w:p>
          <w:p w14:paraId="1BBF752E" w14:textId="77777777" w:rsidR="00EE7E9F" w:rsidRPr="00696B21" w:rsidRDefault="00EE7E9F" w:rsidP="00511B8C">
            <w:pPr>
              <w:rPr>
                <w:sz w:val="20"/>
                <w:szCs w:val="20"/>
              </w:rPr>
            </w:pPr>
            <w:r w:rsidRPr="00A16819">
              <w:rPr>
                <w:color w:val="ED7D31" w:themeColor="accent2"/>
                <w:sz w:val="20"/>
                <w:szCs w:val="20"/>
              </w:rPr>
              <w:t>Misuse of MPR and NS value.</w:t>
            </w:r>
          </w:p>
          <w:p w14:paraId="1AFF1B66" w14:textId="77777777" w:rsidR="00EE7E9F" w:rsidRPr="00696B21" w:rsidRDefault="00EE7E9F" w:rsidP="00511B8C">
            <w:pPr>
              <w:rPr>
                <w:sz w:val="20"/>
                <w:szCs w:val="20"/>
              </w:rPr>
            </w:pPr>
            <w:r w:rsidRPr="00A16819">
              <w:rPr>
                <w:color w:val="ED7D31" w:themeColor="accent2"/>
                <w:sz w:val="20"/>
                <w:szCs w:val="20"/>
              </w:rPr>
              <w:t>Bad precedence of optional NS-Value.</w:t>
            </w:r>
          </w:p>
        </w:tc>
      </w:tr>
      <w:tr w:rsidR="00EE7E9F" w:rsidRPr="00696B21" w14:paraId="42A2A78A" w14:textId="77777777" w:rsidTr="00511B8C">
        <w:tc>
          <w:tcPr>
            <w:tcW w:w="2664" w:type="dxa"/>
          </w:tcPr>
          <w:p w14:paraId="4DA4F756" w14:textId="77777777" w:rsidR="00EE7E9F" w:rsidRPr="00573CC1" w:rsidRDefault="00EE7E9F" w:rsidP="00511B8C">
            <w:pPr>
              <w:rPr>
                <w:b/>
                <w:bCs/>
                <w:sz w:val="20"/>
                <w:szCs w:val="20"/>
              </w:rPr>
            </w:pPr>
            <w:r w:rsidRPr="00573CC1">
              <w:rPr>
                <w:b/>
                <w:bCs/>
                <w:sz w:val="20"/>
                <w:szCs w:val="20"/>
              </w:rPr>
              <w:t>New NS-Value +</w:t>
            </w:r>
          </w:p>
          <w:p w14:paraId="4CB1778E" w14:textId="77777777" w:rsidR="00EE7E9F" w:rsidRPr="00573CC1" w:rsidRDefault="00EE7E9F" w:rsidP="00511B8C">
            <w:pPr>
              <w:rPr>
                <w:sz w:val="20"/>
                <w:szCs w:val="20"/>
              </w:rPr>
            </w:pPr>
            <w:r w:rsidRPr="00573CC1">
              <w:rPr>
                <w:b/>
                <w:bCs/>
                <w:sz w:val="20"/>
                <w:szCs w:val="20"/>
              </w:rPr>
              <w:t>New Capability</w:t>
            </w:r>
          </w:p>
          <w:p w14:paraId="4F447035" w14:textId="77777777" w:rsidR="00EE7E9F" w:rsidRPr="00573CC1" w:rsidRDefault="00EE7E9F" w:rsidP="00511B8C">
            <w:pPr>
              <w:rPr>
                <w:sz w:val="20"/>
                <w:szCs w:val="20"/>
              </w:rPr>
            </w:pPr>
          </w:p>
        </w:tc>
        <w:tc>
          <w:tcPr>
            <w:tcW w:w="2664" w:type="dxa"/>
          </w:tcPr>
          <w:p w14:paraId="0F917121" w14:textId="77777777" w:rsidR="00EE7E9F" w:rsidRPr="00F16BE5" w:rsidRDefault="00EE7E9F" w:rsidP="00511B8C">
            <w:pPr>
              <w:rPr>
                <w:color w:val="70AD47" w:themeColor="accent6"/>
                <w:sz w:val="20"/>
                <w:szCs w:val="20"/>
              </w:rPr>
            </w:pPr>
            <w:r w:rsidRPr="00F16BE5">
              <w:rPr>
                <w:color w:val="70AD47" w:themeColor="accent6"/>
                <w:sz w:val="20"/>
                <w:szCs w:val="20"/>
              </w:rPr>
              <w:t>Possible</w:t>
            </w:r>
          </w:p>
        </w:tc>
        <w:tc>
          <w:tcPr>
            <w:tcW w:w="2664" w:type="dxa"/>
          </w:tcPr>
          <w:p w14:paraId="59ADCA97" w14:textId="77777777" w:rsidR="00EE7E9F" w:rsidRPr="00A16819" w:rsidRDefault="00EE7E9F" w:rsidP="00511B8C">
            <w:pPr>
              <w:rPr>
                <w:color w:val="ED7D31" w:themeColor="accent2"/>
                <w:sz w:val="20"/>
                <w:szCs w:val="20"/>
              </w:rPr>
            </w:pPr>
            <w:r w:rsidRPr="00A16819">
              <w:rPr>
                <w:color w:val="ED7D31" w:themeColor="accent2"/>
                <w:sz w:val="20"/>
                <w:szCs w:val="20"/>
              </w:rPr>
              <w:t>Possible but additional implementation required</w:t>
            </w:r>
          </w:p>
        </w:tc>
        <w:tc>
          <w:tcPr>
            <w:tcW w:w="2664" w:type="dxa"/>
          </w:tcPr>
          <w:p w14:paraId="7B41E742" w14:textId="77777777" w:rsidR="00EE7E9F" w:rsidRPr="00A16819" w:rsidRDefault="00EE7E9F" w:rsidP="00511B8C">
            <w:pPr>
              <w:rPr>
                <w:color w:val="ED7D31" w:themeColor="accent2"/>
                <w:sz w:val="20"/>
                <w:szCs w:val="20"/>
              </w:rPr>
            </w:pPr>
            <w:r w:rsidRPr="00A16819">
              <w:rPr>
                <w:color w:val="ED7D31" w:themeColor="accent2"/>
                <w:sz w:val="20"/>
                <w:szCs w:val="20"/>
              </w:rPr>
              <w:t>Possible but additional implementation required</w:t>
            </w:r>
          </w:p>
        </w:tc>
        <w:tc>
          <w:tcPr>
            <w:tcW w:w="3231" w:type="dxa"/>
          </w:tcPr>
          <w:p w14:paraId="2A51B81A" w14:textId="77777777" w:rsidR="00EE7E9F" w:rsidRPr="00A16819" w:rsidRDefault="00EE7E9F" w:rsidP="00511B8C">
            <w:pPr>
              <w:rPr>
                <w:color w:val="ED7D31" w:themeColor="accent2"/>
                <w:sz w:val="20"/>
                <w:szCs w:val="20"/>
              </w:rPr>
            </w:pPr>
            <w:r w:rsidRPr="00A16819">
              <w:rPr>
                <w:color w:val="ED7D31" w:themeColor="accent2"/>
                <w:sz w:val="20"/>
                <w:szCs w:val="20"/>
              </w:rPr>
              <w:t>ASN.1 change required.</w:t>
            </w:r>
          </w:p>
          <w:p w14:paraId="1C10914B" w14:textId="77777777" w:rsidR="00EE7E9F" w:rsidRPr="00696B21" w:rsidRDefault="00EE7E9F" w:rsidP="00511B8C">
            <w:pPr>
              <w:rPr>
                <w:sz w:val="20"/>
                <w:szCs w:val="20"/>
              </w:rPr>
            </w:pPr>
            <w:r w:rsidRPr="00A16819">
              <w:rPr>
                <w:color w:val="ED7D31" w:themeColor="accent2"/>
                <w:sz w:val="20"/>
                <w:szCs w:val="20"/>
              </w:rPr>
              <w:t>Bad precedence of optional NS-Value.</w:t>
            </w:r>
          </w:p>
        </w:tc>
      </w:tr>
      <w:tr w:rsidR="00EE7E9F" w:rsidRPr="00696B21" w14:paraId="29BE1532" w14:textId="77777777" w:rsidTr="00511B8C">
        <w:tc>
          <w:tcPr>
            <w:tcW w:w="2664" w:type="dxa"/>
          </w:tcPr>
          <w:p w14:paraId="750222EF" w14:textId="77777777" w:rsidR="00EE7E9F" w:rsidRPr="00573CC1" w:rsidRDefault="00EE7E9F" w:rsidP="00511B8C">
            <w:pPr>
              <w:rPr>
                <w:b/>
                <w:bCs/>
                <w:sz w:val="20"/>
                <w:szCs w:val="20"/>
              </w:rPr>
            </w:pPr>
            <w:r w:rsidRPr="00573CC1">
              <w:rPr>
                <w:b/>
                <w:bCs/>
                <w:sz w:val="20"/>
                <w:szCs w:val="20"/>
              </w:rPr>
              <w:lastRenderedPageBreak/>
              <w:t>New NS-Value +</w:t>
            </w:r>
          </w:p>
          <w:p w14:paraId="6E0327CD" w14:textId="77777777" w:rsidR="00EE7E9F" w:rsidRPr="00573CC1" w:rsidRDefault="00EE7E9F" w:rsidP="00511B8C">
            <w:pPr>
              <w:rPr>
                <w:sz w:val="20"/>
                <w:szCs w:val="20"/>
              </w:rPr>
            </w:pPr>
            <w:r w:rsidRPr="00573CC1">
              <w:rPr>
                <w:b/>
                <w:bCs/>
                <w:sz w:val="20"/>
                <w:szCs w:val="20"/>
              </w:rPr>
              <w:t>Modified MPR behaviour</w:t>
            </w:r>
          </w:p>
        </w:tc>
        <w:tc>
          <w:tcPr>
            <w:tcW w:w="2664" w:type="dxa"/>
          </w:tcPr>
          <w:p w14:paraId="0A1AE2C8" w14:textId="77777777" w:rsidR="00EE7E9F" w:rsidRPr="00F16BE5" w:rsidRDefault="00EE7E9F" w:rsidP="00511B8C">
            <w:pPr>
              <w:rPr>
                <w:color w:val="70AD47" w:themeColor="accent6"/>
                <w:sz w:val="20"/>
                <w:szCs w:val="20"/>
              </w:rPr>
            </w:pPr>
            <w:r w:rsidRPr="00F16BE5">
              <w:rPr>
                <w:color w:val="70AD47" w:themeColor="accent6"/>
                <w:sz w:val="20"/>
                <w:szCs w:val="20"/>
              </w:rPr>
              <w:t>Possible</w:t>
            </w:r>
          </w:p>
        </w:tc>
        <w:tc>
          <w:tcPr>
            <w:tcW w:w="2664" w:type="dxa"/>
          </w:tcPr>
          <w:p w14:paraId="447AB725" w14:textId="77777777" w:rsidR="00EE7E9F" w:rsidRPr="00A16819" w:rsidRDefault="00EE7E9F" w:rsidP="00511B8C">
            <w:pPr>
              <w:rPr>
                <w:color w:val="ED7D31" w:themeColor="accent2"/>
                <w:sz w:val="20"/>
                <w:szCs w:val="20"/>
              </w:rPr>
            </w:pPr>
            <w:r w:rsidRPr="00A16819">
              <w:rPr>
                <w:color w:val="ED7D31" w:themeColor="accent2"/>
                <w:sz w:val="20"/>
                <w:szCs w:val="20"/>
              </w:rPr>
              <w:t>Possible but additional implementation required</w:t>
            </w:r>
          </w:p>
        </w:tc>
        <w:tc>
          <w:tcPr>
            <w:tcW w:w="2664" w:type="dxa"/>
          </w:tcPr>
          <w:p w14:paraId="32D0F1E4" w14:textId="77777777" w:rsidR="00EE7E9F" w:rsidRPr="00A16819" w:rsidRDefault="00EE7E9F" w:rsidP="00511B8C">
            <w:pPr>
              <w:rPr>
                <w:color w:val="ED7D31" w:themeColor="accent2"/>
                <w:sz w:val="20"/>
                <w:szCs w:val="20"/>
              </w:rPr>
            </w:pPr>
            <w:r w:rsidRPr="00A16819">
              <w:rPr>
                <w:color w:val="ED7D31" w:themeColor="accent2"/>
                <w:sz w:val="20"/>
                <w:szCs w:val="20"/>
              </w:rPr>
              <w:t>eNB unaware (gNB rejects incoming request)</w:t>
            </w:r>
          </w:p>
        </w:tc>
        <w:tc>
          <w:tcPr>
            <w:tcW w:w="3231" w:type="dxa"/>
          </w:tcPr>
          <w:p w14:paraId="14DC7D71" w14:textId="77777777" w:rsidR="00EE7E9F" w:rsidRPr="00A16819" w:rsidRDefault="00EE7E9F" w:rsidP="00511B8C">
            <w:pPr>
              <w:rPr>
                <w:color w:val="70AD47" w:themeColor="accent6"/>
                <w:sz w:val="20"/>
                <w:szCs w:val="20"/>
              </w:rPr>
            </w:pPr>
            <w:r w:rsidRPr="00A16819">
              <w:rPr>
                <w:color w:val="70AD47" w:themeColor="accent6"/>
                <w:sz w:val="20"/>
                <w:szCs w:val="20"/>
              </w:rPr>
              <w:t>No ASN.1 change required.</w:t>
            </w:r>
          </w:p>
          <w:p w14:paraId="69C501B5" w14:textId="77777777" w:rsidR="00EE7E9F" w:rsidRDefault="00EE7E9F" w:rsidP="00511B8C">
            <w:pPr>
              <w:rPr>
                <w:color w:val="ED7D31" w:themeColor="accent2"/>
                <w:sz w:val="20"/>
                <w:szCs w:val="20"/>
              </w:rPr>
            </w:pPr>
            <w:r w:rsidRPr="00A16819">
              <w:rPr>
                <w:color w:val="ED7D31" w:themeColor="accent2"/>
                <w:sz w:val="20"/>
                <w:szCs w:val="20"/>
              </w:rPr>
              <w:t>Bad precedence of optional NS-Value.</w:t>
            </w:r>
          </w:p>
          <w:p w14:paraId="45DF7CA8" w14:textId="77777777" w:rsidR="00EE7E9F" w:rsidRDefault="00EE7E9F" w:rsidP="00511B8C">
            <w:pPr>
              <w:rPr>
                <w:sz w:val="20"/>
                <w:szCs w:val="20"/>
              </w:rPr>
            </w:pPr>
            <w:r w:rsidRPr="00A16819">
              <w:rPr>
                <w:color w:val="ED7D31" w:themeColor="accent2"/>
                <w:sz w:val="20"/>
                <w:szCs w:val="20"/>
              </w:rPr>
              <w:t>Misuse of MPR and NS value.</w:t>
            </w:r>
          </w:p>
        </w:tc>
      </w:tr>
      <w:tr w:rsidR="00EE7E9F" w:rsidRPr="00696B21" w14:paraId="748A066A" w14:textId="77777777" w:rsidTr="00511B8C">
        <w:tc>
          <w:tcPr>
            <w:tcW w:w="2664" w:type="dxa"/>
          </w:tcPr>
          <w:p w14:paraId="7C3FE2AC" w14:textId="77777777" w:rsidR="00EE7E9F" w:rsidRPr="00573CC1" w:rsidRDefault="00EE7E9F" w:rsidP="00511B8C">
            <w:pPr>
              <w:rPr>
                <w:b/>
                <w:bCs/>
                <w:sz w:val="20"/>
                <w:szCs w:val="20"/>
              </w:rPr>
            </w:pPr>
            <w:r w:rsidRPr="00573CC1">
              <w:rPr>
                <w:b/>
                <w:bCs/>
                <w:sz w:val="20"/>
                <w:szCs w:val="20"/>
              </w:rPr>
              <w:t>New band number</w:t>
            </w:r>
          </w:p>
          <w:p w14:paraId="39E7D393" w14:textId="77777777" w:rsidR="00EE7E9F" w:rsidRPr="00573CC1" w:rsidRDefault="00EE7E9F" w:rsidP="00511B8C">
            <w:pPr>
              <w:rPr>
                <w:sz w:val="20"/>
                <w:szCs w:val="20"/>
              </w:rPr>
            </w:pPr>
            <w:r w:rsidRPr="00573CC1">
              <w:rPr>
                <w:sz w:val="20"/>
                <w:szCs w:val="20"/>
              </w:rPr>
              <w:t>(same definition, range, requirements and BC as n77)</w:t>
            </w:r>
          </w:p>
        </w:tc>
        <w:tc>
          <w:tcPr>
            <w:tcW w:w="2664" w:type="dxa"/>
          </w:tcPr>
          <w:p w14:paraId="0DAC883F" w14:textId="77777777" w:rsidR="00EE7E9F" w:rsidRPr="00F16BE5" w:rsidRDefault="00EE7E9F" w:rsidP="00511B8C">
            <w:pPr>
              <w:rPr>
                <w:color w:val="70AD47" w:themeColor="accent6"/>
                <w:sz w:val="20"/>
                <w:szCs w:val="20"/>
              </w:rPr>
            </w:pPr>
            <w:r w:rsidRPr="00F16BE5">
              <w:rPr>
                <w:color w:val="70AD47" w:themeColor="accent6"/>
                <w:sz w:val="20"/>
                <w:szCs w:val="20"/>
              </w:rPr>
              <w:t xml:space="preserve">Possible. </w:t>
            </w:r>
          </w:p>
          <w:p w14:paraId="2EF38432" w14:textId="77777777" w:rsidR="00EE7E9F" w:rsidRPr="00F16BE5" w:rsidRDefault="00EE7E9F" w:rsidP="00511B8C">
            <w:pPr>
              <w:rPr>
                <w:color w:val="70AD47" w:themeColor="accent6"/>
                <w:sz w:val="20"/>
                <w:szCs w:val="20"/>
              </w:rPr>
            </w:pPr>
            <w:r w:rsidRPr="00F16BE5">
              <w:rPr>
                <w:color w:val="70AD47" w:themeColor="accent6"/>
                <w:sz w:val="20"/>
                <w:szCs w:val="20"/>
              </w:rPr>
              <w:t>DoD cell broadcasts only the new band number.</w:t>
            </w:r>
          </w:p>
          <w:p w14:paraId="4F234B8E" w14:textId="6D98C195" w:rsidR="00EE7E9F" w:rsidRPr="00F16BE5" w:rsidRDefault="00EE7E9F" w:rsidP="00511B8C">
            <w:pPr>
              <w:rPr>
                <w:color w:val="70AD47" w:themeColor="accent6"/>
                <w:sz w:val="20"/>
                <w:szCs w:val="20"/>
              </w:rPr>
            </w:pPr>
            <w:r w:rsidRPr="00F16BE5">
              <w:rPr>
                <w:color w:val="70AD47" w:themeColor="accent6"/>
                <w:sz w:val="20"/>
                <w:szCs w:val="20"/>
              </w:rPr>
              <w:t>Legacy n77 cells in CBRS spectrum broadcast n77 and n</w:t>
            </w:r>
            <w:r w:rsidR="002976E0">
              <w:rPr>
                <w:color w:val="70AD47" w:themeColor="accent6"/>
                <w:sz w:val="20"/>
                <w:szCs w:val="20"/>
              </w:rPr>
              <w:t>97</w:t>
            </w:r>
            <w:r w:rsidRPr="00F16BE5">
              <w:rPr>
                <w:color w:val="70AD47" w:themeColor="accent6"/>
                <w:sz w:val="20"/>
                <w:szCs w:val="20"/>
              </w:rPr>
              <w:t>.</w:t>
            </w:r>
          </w:p>
        </w:tc>
        <w:tc>
          <w:tcPr>
            <w:tcW w:w="2664" w:type="dxa"/>
          </w:tcPr>
          <w:p w14:paraId="181654D0" w14:textId="77777777" w:rsidR="00EE7E9F" w:rsidRPr="00F16BE5" w:rsidRDefault="00EE7E9F" w:rsidP="00511B8C">
            <w:pPr>
              <w:rPr>
                <w:color w:val="70AD47" w:themeColor="accent6"/>
                <w:sz w:val="20"/>
                <w:szCs w:val="20"/>
              </w:rPr>
            </w:pPr>
            <w:r w:rsidRPr="00F16BE5">
              <w:rPr>
                <w:color w:val="70AD47" w:themeColor="accent6"/>
                <w:sz w:val="20"/>
                <w:szCs w:val="20"/>
              </w:rPr>
              <w:t>Possible.</w:t>
            </w:r>
          </w:p>
          <w:p w14:paraId="2BC07B51" w14:textId="77777777" w:rsidR="00EE7E9F" w:rsidRPr="00F16BE5" w:rsidRDefault="00EE7E9F" w:rsidP="00511B8C">
            <w:pPr>
              <w:rPr>
                <w:color w:val="70AD47" w:themeColor="accent6"/>
                <w:sz w:val="20"/>
                <w:szCs w:val="20"/>
              </w:rPr>
            </w:pPr>
            <w:r w:rsidRPr="00F16BE5">
              <w:rPr>
                <w:color w:val="70AD47" w:themeColor="accent6"/>
                <w:sz w:val="20"/>
                <w:szCs w:val="20"/>
              </w:rPr>
              <w:t>Existing procedures.</w:t>
            </w:r>
          </w:p>
        </w:tc>
        <w:tc>
          <w:tcPr>
            <w:tcW w:w="2664" w:type="dxa"/>
          </w:tcPr>
          <w:p w14:paraId="12479E68" w14:textId="77777777" w:rsidR="00EE7E9F" w:rsidRPr="00F16BE5" w:rsidRDefault="00EE7E9F" w:rsidP="00511B8C">
            <w:pPr>
              <w:rPr>
                <w:color w:val="70AD47" w:themeColor="accent6"/>
                <w:sz w:val="20"/>
                <w:szCs w:val="20"/>
              </w:rPr>
            </w:pPr>
            <w:r w:rsidRPr="00F16BE5">
              <w:rPr>
                <w:color w:val="70AD47" w:themeColor="accent6"/>
                <w:sz w:val="20"/>
                <w:szCs w:val="20"/>
              </w:rPr>
              <w:t>Possible.</w:t>
            </w:r>
          </w:p>
          <w:p w14:paraId="6094B64C" w14:textId="77777777" w:rsidR="00EE7E9F" w:rsidRPr="00F16BE5" w:rsidRDefault="00EE7E9F" w:rsidP="00511B8C">
            <w:pPr>
              <w:rPr>
                <w:color w:val="70AD47" w:themeColor="accent6"/>
                <w:sz w:val="20"/>
                <w:szCs w:val="20"/>
              </w:rPr>
            </w:pPr>
            <w:r w:rsidRPr="00F16BE5">
              <w:rPr>
                <w:color w:val="70AD47" w:themeColor="accent6"/>
                <w:sz w:val="20"/>
                <w:szCs w:val="20"/>
              </w:rPr>
              <w:t xml:space="preserve">Existing procedures. </w:t>
            </w:r>
          </w:p>
        </w:tc>
        <w:tc>
          <w:tcPr>
            <w:tcW w:w="3231" w:type="dxa"/>
          </w:tcPr>
          <w:p w14:paraId="44227C7E" w14:textId="77777777" w:rsidR="00EE7E9F" w:rsidRPr="00F16BE5" w:rsidRDefault="00EE7E9F" w:rsidP="00511B8C">
            <w:pPr>
              <w:rPr>
                <w:color w:val="70AD47" w:themeColor="accent6"/>
                <w:sz w:val="20"/>
                <w:szCs w:val="20"/>
              </w:rPr>
            </w:pPr>
            <w:r w:rsidRPr="00F16BE5">
              <w:rPr>
                <w:color w:val="70AD47" w:themeColor="accent6"/>
                <w:sz w:val="20"/>
                <w:szCs w:val="20"/>
              </w:rPr>
              <w:t xml:space="preserve">No ASN.1 change. No procedural change. </w:t>
            </w:r>
          </w:p>
          <w:p w14:paraId="7A0EC36A" w14:textId="77777777" w:rsidR="00EE7E9F" w:rsidRDefault="00EE7E9F" w:rsidP="00511B8C">
            <w:pPr>
              <w:rPr>
                <w:sz w:val="20"/>
                <w:szCs w:val="20"/>
              </w:rPr>
            </w:pPr>
          </w:p>
          <w:p w14:paraId="236BAAF4" w14:textId="1847633F" w:rsidR="00EE7E9F" w:rsidRDefault="00EE7E9F" w:rsidP="00511B8C">
            <w:pPr>
              <w:rPr>
                <w:sz w:val="20"/>
                <w:szCs w:val="20"/>
              </w:rPr>
            </w:pPr>
            <w:r>
              <w:rPr>
                <w:color w:val="ED7D31" w:themeColor="accent2"/>
                <w:sz w:val="20"/>
                <w:szCs w:val="20"/>
              </w:rPr>
              <w:t>If NW requests BCs for n77 and n</w:t>
            </w:r>
            <w:r w:rsidR="002976E0">
              <w:rPr>
                <w:color w:val="ED7D31" w:themeColor="accent2"/>
                <w:sz w:val="20"/>
                <w:szCs w:val="20"/>
              </w:rPr>
              <w:t>97</w:t>
            </w:r>
            <w:r>
              <w:rPr>
                <w:color w:val="ED7D31" w:themeColor="accent2"/>
                <w:sz w:val="20"/>
                <w:szCs w:val="20"/>
              </w:rPr>
              <w:t xml:space="preserve">, </w:t>
            </w:r>
            <w:r w:rsidRPr="00F16BE5">
              <w:rPr>
                <w:color w:val="ED7D31" w:themeColor="accent2"/>
                <w:sz w:val="20"/>
                <w:szCs w:val="20"/>
              </w:rPr>
              <w:t>UE</w:t>
            </w:r>
            <w:r>
              <w:rPr>
                <w:color w:val="ED7D31" w:themeColor="accent2"/>
                <w:sz w:val="20"/>
                <w:szCs w:val="20"/>
              </w:rPr>
              <w:t>s</w:t>
            </w:r>
            <w:r w:rsidRPr="00F16BE5">
              <w:rPr>
                <w:color w:val="ED7D31" w:themeColor="accent2"/>
                <w:sz w:val="20"/>
                <w:szCs w:val="20"/>
              </w:rPr>
              <w:t xml:space="preserve"> </w:t>
            </w:r>
            <w:r>
              <w:rPr>
                <w:color w:val="ED7D31" w:themeColor="accent2"/>
                <w:sz w:val="20"/>
                <w:szCs w:val="20"/>
              </w:rPr>
              <w:t xml:space="preserve">supporting both bands send BCs for both </w:t>
            </w:r>
            <w:r w:rsidRPr="003B7B1A">
              <w:rPr>
                <w:rFonts w:ascii="Wingdings" w:eastAsia="Wingdings" w:hAnsi="Wingdings" w:cs="Wingdings"/>
                <w:color w:val="ED7D31" w:themeColor="accent2"/>
                <w:sz w:val="20"/>
                <w:szCs w:val="20"/>
              </w:rPr>
              <w:t>è</w:t>
            </w:r>
            <w:r>
              <w:rPr>
                <w:color w:val="ED7D31" w:themeColor="accent2"/>
                <w:sz w:val="20"/>
                <w:szCs w:val="20"/>
              </w:rPr>
              <w:t xml:space="preserve"> Increased size of </w:t>
            </w:r>
            <w:r w:rsidRPr="00F16BE5">
              <w:rPr>
                <w:color w:val="ED7D31" w:themeColor="accent2"/>
                <w:sz w:val="20"/>
                <w:szCs w:val="20"/>
              </w:rPr>
              <w:t>UE capabilities</w:t>
            </w:r>
            <w:r>
              <w:rPr>
                <w:sz w:val="20"/>
                <w:szCs w:val="20"/>
              </w:rPr>
              <w:t>.</w:t>
            </w:r>
          </w:p>
        </w:tc>
      </w:tr>
      <w:tr w:rsidR="00EE7E9F" w:rsidRPr="00696B21" w14:paraId="48D90648" w14:textId="77777777" w:rsidTr="00511B8C">
        <w:tc>
          <w:tcPr>
            <w:tcW w:w="2664" w:type="dxa"/>
          </w:tcPr>
          <w:p w14:paraId="6E24FE0D" w14:textId="77777777" w:rsidR="00EE7E9F" w:rsidRPr="00573CC1" w:rsidRDefault="00EE7E9F" w:rsidP="00511B8C">
            <w:pPr>
              <w:rPr>
                <w:b/>
                <w:bCs/>
                <w:sz w:val="20"/>
                <w:szCs w:val="20"/>
              </w:rPr>
            </w:pPr>
            <w:r w:rsidRPr="00573CC1">
              <w:rPr>
                <w:b/>
                <w:bCs/>
                <w:sz w:val="20"/>
                <w:szCs w:val="20"/>
              </w:rPr>
              <w:t>New band number +</w:t>
            </w:r>
          </w:p>
          <w:p w14:paraId="1C332825" w14:textId="05B733F1" w:rsidR="00EE7E9F" w:rsidRPr="00573CC1" w:rsidRDefault="00EE7E9F" w:rsidP="00511B8C">
            <w:pPr>
              <w:rPr>
                <w:sz w:val="20"/>
                <w:szCs w:val="20"/>
              </w:rPr>
            </w:pPr>
            <w:r w:rsidRPr="00573CC1">
              <w:rPr>
                <w:b/>
                <w:bCs/>
                <w:sz w:val="20"/>
                <w:szCs w:val="20"/>
              </w:rPr>
              <w:t xml:space="preserve">Rule to omit </w:t>
            </w:r>
            <w:r>
              <w:rPr>
                <w:b/>
                <w:bCs/>
                <w:sz w:val="20"/>
                <w:szCs w:val="20"/>
              </w:rPr>
              <w:t>BCs</w:t>
            </w:r>
            <w:r w:rsidRPr="00573CC1">
              <w:rPr>
                <w:sz w:val="20"/>
                <w:szCs w:val="20"/>
              </w:rPr>
              <w:t xml:space="preserve"> for n</w:t>
            </w:r>
            <w:r w:rsidR="002976E0">
              <w:rPr>
                <w:sz w:val="20"/>
                <w:szCs w:val="20"/>
              </w:rPr>
              <w:t>97</w:t>
            </w:r>
            <w:r w:rsidRPr="00573CC1">
              <w:rPr>
                <w:sz w:val="20"/>
                <w:szCs w:val="20"/>
              </w:rPr>
              <w:t xml:space="preserve"> in UE capabilities</w:t>
            </w:r>
            <w:r>
              <w:rPr>
                <w:sz w:val="20"/>
                <w:szCs w:val="20"/>
              </w:rPr>
              <w:t xml:space="preserve"> (but support the same as for n77)</w:t>
            </w:r>
            <w:r w:rsidRPr="00573CC1">
              <w:rPr>
                <w:sz w:val="20"/>
                <w:szCs w:val="20"/>
              </w:rPr>
              <w:t>.</w:t>
            </w:r>
          </w:p>
        </w:tc>
        <w:tc>
          <w:tcPr>
            <w:tcW w:w="2664" w:type="dxa"/>
          </w:tcPr>
          <w:p w14:paraId="7197CAD0" w14:textId="77777777" w:rsidR="00EE7E9F" w:rsidRPr="00F16BE5" w:rsidRDefault="00EE7E9F" w:rsidP="00511B8C">
            <w:pPr>
              <w:rPr>
                <w:color w:val="70AD47" w:themeColor="accent6"/>
                <w:sz w:val="20"/>
                <w:szCs w:val="20"/>
              </w:rPr>
            </w:pPr>
            <w:r w:rsidRPr="00F16BE5">
              <w:rPr>
                <w:color w:val="70AD47" w:themeColor="accent6"/>
                <w:sz w:val="20"/>
                <w:szCs w:val="20"/>
              </w:rPr>
              <w:t xml:space="preserve">Possible. </w:t>
            </w:r>
          </w:p>
          <w:p w14:paraId="674C7051" w14:textId="77777777" w:rsidR="00EE7E9F" w:rsidRPr="00F16BE5" w:rsidRDefault="00EE7E9F" w:rsidP="00511B8C">
            <w:pPr>
              <w:rPr>
                <w:color w:val="70AD47" w:themeColor="accent6"/>
                <w:sz w:val="20"/>
                <w:szCs w:val="20"/>
              </w:rPr>
            </w:pPr>
            <w:r w:rsidRPr="00F16BE5">
              <w:rPr>
                <w:color w:val="70AD47" w:themeColor="accent6"/>
                <w:sz w:val="20"/>
                <w:szCs w:val="20"/>
              </w:rPr>
              <w:t>(same as above)</w:t>
            </w:r>
          </w:p>
        </w:tc>
        <w:tc>
          <w:tcPr>
            <w:tcW w:w="2664" w:type="dxa"/>
          </w:tcPr>
          <w:p w14:paraId="7A7DBCD9" w14:textId="77777777" w:rsidR="00EE7E9F" w:rsidRPr="00A16819" w:rsidRDefault="00EE7E9F" w:rsidP="00511B8C">
            <w:pPr>
              <w:rPr>
                <w:color w:val="ED7D31" w:themeColor="accent2"/>
                <w:sz w:val="20"/>
                <w:szCs w:val="20"/>
              </w:rPr>
            </w:pPr>
            <w:r w:rsidRPr="00A16819">
              <w:rPr>
                <w:color w:val="ED7D31" w:themeColor="accent2"/>
                <w:sz w:val="20"/>
                <w:szCs w:val="20"/>
              </w:rPr>
              <w:t>Possible but additional implementation required</w:t>
            </w:r>
          </w:p>
          <w:p w14:paraId="44C2C07A" w14:textId="60506609" w:rsidR="00EE7E9F" w:rsidRPr="00F16BE5" w:rsidRDefault="00EE7E9F" w:rsidP="00511B8C">
            <w:pPr>
              <w:rPr>
                <w:color w:val="70AD47" w:themeColor="accent6"/>
                <w:sz w:val="20"/>
                <w:szCs w:val="20"/>
              </w:rPr>
            </w:pPr>
            <w:r w:rsidRPr="00F16BE5">
              <w:rPr>
                <w:color w:val="ED7D31" w:themeColor="accent2"/>
                <w:sz w:val="20"/>
                <w:szCs w:val="20"/>
              </w:rPr>
              <w:t>(</w:t>
            </w:r>
            <w:r w:rsidRPr="00CD3C7C">
              <w:rPr>
                <w:color w:val="ED7D31" w:themeColor="accent2"/>
                <w:sz w:val="20"/>
                <w:szCs w:val="20"/>
              </w:rPr>
              <w:t>gNB must treat reported n77 BC as n</w:t>
            </w:r>
            <w:r w:rsidR="002976E0">
              <w:rPr>
                <w:color w:val="ED7D31" w:themeColor="accent2"/>
                <w:sz w:val="20"/>
                <w:szCs w:val="20"/>
              </w:rPr>
              <w:t>97</w:t>
            </w:r>
            <w:r w:rsidRPr="00CD3C7C">
              <w:rPr>
                <w:color w:val="ED7D31" w:themeColor="accent2"/>
                <w:sz w:val="20"/>
                <w:szCs w:val="20"/>
              </w:rPr>
              <w:t xml:space="preserve"> BC in capability evaluation</w:t>
            </w:r>
            <w:r w:rsidRPr="00F16BE5">
              <w:rPr>
                <w:color w:val="ED7D31" w:themeColor="accent2"/>
                <w:sz w:val="20"/>
                <w:szCs w:val="20"/>
              </w:rPr>
              <w:t>)</w:t>
            </w:r>
          </w:p>
        </w:tc>
        <w:tc>
          <w:tcPr>
            <w:tcW w:w="2664" w:type="dxa"/>
          </w:tcPr>
          <w:p w14:paraId="7E5ED4AB" w14:textId="77777777" w:rsidR="00EE7E9F" w:rsidRPr="00F16BE5" w:rsidRDefault="00EE7E9F" w:rsidP="00511B8C">
            <w:pPr>
              <w:rPr>
                <w:color w:val="70AD47" w:themeColor="accent6"/>
                <w:sz w:val="20"/>
                <w:szCs w:val="20"/>
              </w:rPr>
            </w:pPr>
            <w:r w:rsidRPr="00F16BE5">
              <w:rPr>
                <w:color w:val="70AD47" w:themeColor="accent6"/>
                <w:sz w:val="20"/>
                <w:szCs w:val="20"/>
              </w:rPr>
              <w:t>Possible.</w:t>
            </w:r>
          </w:p>
          <w:p w14:paraId="1711A7D9" w14:textId="77777777" w:rsidR="00EE7E9F" w:rsidRPr="00F16BE5" w:rsidRDefault="00EE7E9F" w:rsidP="00511B8C">
            <w:pPr>
              <w:rPr>
                <w:color w:val="70AD47" w:themeColor="accent6"/>
                <w:sz w:val="20"/>
                <w:szCs w:val="20"/>
              </w:rPr>
            </w:pPr>
            <w:r w:rsidRPr="00F16BE5">
              <w:rPr>
                <w:color w:val="70AD47" w:themeColor="accent6"/>
                <w:sz w:val="20"/>
                <w:szCs w:val="20"/>
              </w:rPr>
              <w:t>(same as above since eNB does not care about NR band parameters in BC)</w:t>
            </w:r>
          </w:p>
        </w:tc>
        <w:tc>
          <w:tcPr>
            <w:tcW w:w="3231" w:type="dxa"/>
          </w:tcPr>
          <w:p w14:paraId="1B60EFE6" w14:textId="77777777" w:rsidR="00EE7E9F" w:rsidRPr="00F16BE5" w:rsidRDefault="00EE7E9F" w:rsidP="00511B8C">
            <w:pPr>
              <w:rPr>
                <w:color w:val="70AD47" w:themeColor="accent6"/>
                <w:sz w:val="20"/>
                <w:szCs w:val="20"/>
              </w:rPr>
            </w:pPr>
            <w:r w:rsidRPr="00F16BE5">
              <w:rPr>
                <w:color w:val="70AD47" w:themeColor="accent6"/>
                <w:sz w:val="20"/>
                <w:szCs w:val="20"/>
              </w:rPr>
              <w:t xml:space="preserve">No ASN.1 change. </w:t>
            </w:r>
          </w:p>
          <w:p w14:paraId="70E009A4" w14:textId="77777777" w:rsidR="00EE7E9F" w:rsidRPr="00F16BE5" w:rsidRDefault="00EE7E9F" w:rsidP="00511B8C">
            <w:pPr>
              <w:rPr>
                <w:color w:val="70AD47" w:themeColor="accent6"/>
                <w:sz w:val="20"/>
                <w:szCs w:val="20"/>
              </w:rPr>
            </w:pPr>
          </w:p>
          <w:p w14:paraId="5DDED688" w14:textId="07675E09" w:rsidR="00EE7E9F" w:rsidRPr="00F16BE5" w:rsidRDefault="00EE7E9F" w:rsidP="00511B8C">
            <w:pPr>
              <w:rPr>
                <w:color w:val="70AD47" w:themeColor="accent6"/>
                <w:sz w:val="20"/>
                <w:szCs w:val="20"/>
              </w:rPr>
            </w:pPr>
            <w:r w:rsidRPr="00F16BE5">
              <w:rPr>
                <w:color w:val="70AD47" w:themeColor="accent6"/>
                <w:sz w:val="20"/>
                <w:szCs w:val="20"/>
              </w:rPr>
              <w:t>UE lists n</w:t>
            </w:r>
            <w:r w:rsidR="002976E0">
              <w:rPr>
                <w:color w:val="70AD47" w:themeColor="accent6"/>
                <w:sz w:val="20"/>
                <w:szCs w:val="20"/>
              </w:rPr>
              <w:t>97</w:t>
            </w:r>
            <w:r w:rsidRPr="00F16BE5">
              <w:rPr>
                <w:color w:val="70AD47" w:themeColor="accent6"/>
                <w:sz w:val="20"/>
                <w:szCs w:val="20"/>
              </w:rPr>
              <w:t xml:space="preserve"> in band list but not in BC list.</w:t>
            </w:r>
          </w:p>
        </w:tc>
      </w:tr>
    </w:tbl>
    <w:p w14:paraId="324DC28D" w14:textId="77777777" w:rsidR="003A7EF3" w:rsidRPr="00CE0424" w:rsidRDefault="003A7EF3" w:rsidP="00CE0424">
      <w:pPr>
        <w:pStyle w:val="BodyText"/>
      </w:pPr>
    </w:p>
    <w:sectPr w:rsidR="003A7EF3" w:rsidRPr="00CE0424" w:rsidSect="00EE7E9F">
      <w:headerReference w:type="even" r:id="rId17"/>
      <w:footerReference w:type="default" r:id="rId18"/>
      <w:footnotePr>
        <w:numRestart w:val="eachSect"/>
      </w:footnotePr>
      <w:pgSz w:w="16840" w:h="11907" w:orient="landscape" w:code="9"/>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D1BA500" w14:textId="77777777" w:rsidR="004D1DD8" w:rsidRDefault="004D1DD8">
      <w:r>
        <w:separator/>
      </w:r>
    </w:p>
  </w:endnote>
  <w:endnote w:type="continuationSeparator" w:id="0">
    <w:p w14:paraId="2FE7CD17" w14:textId="77777777" w:rsidR="004D1DD8" w:rsidRDefault="004D1D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BB687D" w14:textId="77777777" w:rsidR="00F20F5C" w:rsidRDefault="00F20F5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F85F9D" w14:textId="77777777" w:rsidR="003B64BB" w:rsidRDefault="003B64BB"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71C7A5" w14:textId="77777777" w:rsidR="00F20F5C" w:rsidRDefault="00F20F5C">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F1795F"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7DE8D3A" w14:textId="77777777" w:rsidR="004D1DD8" w:rsidRDefault="004D1DD8">
      <w:r>
        <w:separator/>
      </w:r>
    </w:p>
  </w:footnote>
  <w:footnote w:type="continuationSeparator" w:id="0">
    <w:p w14:paraId="6FA89D9A" w14:textId="77777777" w:rsidR="004D1DD8" w:rsidRDefault="004D1D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3BA0C0" w14:textId="77777777" w:rsidR="003B64BB" w:rsidRDefault="003B64BB">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112475" w14:textId="77777777" w:rsidR="00F20F5C" w:rsidRDefault="00F20F5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F2ECE1" w14:textId="77777777" w:rsidR="00F20F5C" w:rsidRDefault="00F20F5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48E559"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5704E4A"/>
    <w:multiLevelType w:val="hybridMultilevel"/>
    <w:tmpl w:val="622835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3902650"/>
    <w:multiLevelType w:val="hybridMultilevel"/>
    <w:tmpl w:val="13B0BD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7"/>
  </w:num>
  <w:num w:numId="3">
    <w:abstractNumId w:val="12"/>
  </w:num>
  <w:num w:numId="4">
    <w:abstractNumId w:val="13"/>
  </w:num>
  <w:num w:numId="5">
    <w:abstractNumId w:val="8"/>
  </w:num>
  <w:num w:numId="6">
    <w:abstractNumId w:val="15"/>
  </w:num>
  <w:num w:numId="7">
    <w:abstractNumId w:val="20"/>
  </w:num>
  <w:num w:numId="8">
    <w:abstractNumId w:val="9"/>
  </w:num>
  <w:num w:numId="9">
    <w:abstractNumId w:val="7"/>
  </w:num>
  <w:num w:numId="10">
    <w:abstractNumId w:val="2"/>
  </w:num>
  <w:num w:numId="11">
    <w:abstractNumId w:val="1"/>
  </w:num>
  <w:num w:numId="12">
    <w:abstractNumId w:val="0"/>
  </w:num>
  <w:num w:numId="13">
    <w:abstractNumId w:val="18"/>
  </w:num>
  <w:num w:numId="14">
    <w:abstractNumId w:val="19"/>
  </w:num>
  <w:num w:numId="15">
    <w:abstractNumId w:val="14"/>
  </w:num>
  <w:num w:numId="16">
    <w:abstractNumId w:val="21"/>
  </w:num>
  <w:num w:numId="17">
    <w:abstractNumId w:val="5"/>
  </w:num>
  <w:num w:numId="18">
    <w:abstractNumId w:val="6"/>
  </w:num>
  <w:num w:numId="19">
    <w:abstractNumId w:val="4"/>
  </w:num>
  <w:num w:numId="20">
    <w:abstractNumId w:val="23"/>
  </w:num>
  <w:num w:numId="21">
    <w:abstractNumId w:val="10"/>
  </w:num>
  <w:num w:numId="22">
    <w:abstractNumId w:val="22"/>
  </w:num>
  <w:num w:numId="23">
    <w:abstractNumId w:val="11"/>
  </w:num>
  <w:num w:numId="24">
    <w:abstractNumId w:val="1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activeWritingStyle w:appName="MSWord" w:lang="en-GB"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5D4C"/>
    <w:rsid w:val="000006E1"/>
    <w:rsid w:val="00002A37"/>
    <w:rsid w:val="0000564C"/>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1E40"/>
    <w:rsid w:val="00113CF4"/>
    <w:rsid w:val="001153EA"/>
    <w:rsid w:val="00115643"/>
    <w:rsid w:val="00116765"/>
    <w:rsid w:val="001219F5"/>
    <w:rsid w:val="00121A20"/>
    <w:rsid w:val="0012377F"/>
    <w:rsid w:val="00124314"/>
    <w:rsid w:val="00126B4A"/>
    <w:rsid w:val="001278C7"/>
    <w:rsid w:val="00132FD0"/>
    <w:rsid w:val="001344C0"/>
    <w:rsid w:val="001346FA"/>
    <w:rsid w:val="00135252"/>
    <w:rsid w:val="00137AB5"/>
    <w:rsid w:val="00137F0B"/>
    <w:rsid w:val="00151E23"/>
    <w:rsid w:val="001526E0"/>
    <w:rsid w:val="001551B5"/>
    <w:rsid w:val="001659C1"/>
    <w:rsid w:val="00173A8E"/>
    <w:rsid w:val="0017502C"/>
    <w:rsid w:val="0017739B"/>
    <w:rsid w:val="0018143F"/>
    <w:rsid w:val="00181FF8"/>
    <w:rsid w:val="00190AC1"/>
    <w:rsid w:val="0019341A"/>
    <w:rsid w:val="00197DF9"/>
    <w:rsid w:val="001A1987"/>
    <w:rsid w:val="001A2564"/>
    <w:rsid w:val="001A6173"/>
    <w:rsid w:val="001A6CBA"/>
    <w:rsid w:val="001B0D97"/>
    <w:rsid w:val="001B5A5D"/>
    <w:rsid w:val="001C1CE5"/>
    <w:rsid w:val="001C3D2A"/>
    <w:rsid w:val="001D51BA"/>
    <w:rsid w:val="001D53E7"/>
    <w:rsid w:val="001D6342"/>
    <w:rsid w:val="001D6D53"/>
    <w:rsid w:val="001E58E2"/>
    <w:rsid w:val="001E6E38"/>
    <w:rsid w:val="001E7AED"/>
    <w:rsid w:val="001F1375"/>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270E9"/>
    <w:rsid w:val="00230765"/>
    <w:rsid w:val="00230D18"/>
    <w:rsid w:val="002319E4"/>
    <w:rsid w:val="00235632"/>
    <w:rsid w:val="00235872"/>
    <w:rsid w:val="00241559"/>
    <w:rsid w:val="002435B3"/>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6E0"/>
    <w:rsid w:val="0029777D"/>
    <w:rsid w:val="002A055E"/>
    <w:rsid w:val="002A1D4E"/>
    <w:rsid w:val="002A2869"/>
    <w:rsid w:val="002B24D6"/>
    <w:rsid w:val="002C41E6"/>
    <w:rsid w:val="002D071A"/>
    <w:rsid w:val="002D34B2"/>
    <w:rsid w:val="002D3B5B"/>
    <w:rsid w:val="002D48B0"/>
    <w:rsid w:val="002D5B37"/>
    <w:rsid w:val="002D7637"/>
    <w:rsid w:val="002E17F2"/>
    <w:rsid w:val="002E7CAE"/>
    <w:rsid w:val="002F2771"/>
    <w:rsid w:val="002F37A9"/>
    <w:rsid w:val="00301CE6"/>
    <w:rsid w:val="0030256B"/>
    <w:rsid w:val="0030501F"/>
    <w:rsid w:val="00307BA1"/>
    <w:rsid w:val="00311702"/>
    <w:rsid w:val="00311E82"/>
    <w:rsid w:val="00313FD6"/>
    <w:rsid w:val="003143BD"/>
    <w:rsid w:val="00315363"/>
    <w:rsid w:val="003203ED"/>
    <w:rsid w:val="00322C9F"/>
    <w:rsid w:val="00324D23"/>
    <w:rsid w:val="00331751"/>
    <w:rsid w:val="00334579"/>
    <w:rsid w:val="00335858"/>
    <w:rsid w:val="00336BDA"/>
    <w:rsid w:val="00342BD7"/>
    <w:rsid w:val="00346DB5"/>
    <w:rsid w:val="003477B1"/>
    <w:rsid w:val="00357380"/>
    <w:rsid w:val="003602D9"/>
    <w:rsid w:val="003604CE"/>
    <w:rsid w:val="00370E47"/>
    <w:rsid w:val="003742AC"/>
    <w:rsid w:val="00377CE1"/>
    <w:rsid w:val="00385BF0"/>
    <w:rsid w:val="003939FF"/>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7447"/>
    <w:rsid w:val="00441A92"/>
    <w:rsid w:val="004431DC"/>
    <w:rsid w:val="00444F56"/>
    <w:rsid w:val="00446488"/>
    <w:rsid w:val="004517AA"/>
    <w:rsid w:val="00452CAC"/>
    <w:rsid w:val="00457565"/>
    <w:rsid w:val="00457B71"/>
    <w:rsid w:val="004669E2"/>
    <w:rsid w:val="00470C31"/>
    <w:rsid w:val="00471DE0"/>
    <w:rsid w:val="004734D0"/>
    <w:rsid w:val="0047556B"/>
    <w:rsid w:val="00477768"/>
    <w:rsid w:val="00492BC5"/>
    <w:rsid w:val="004964F1"/>
    <w:rsid w:val="004A16BC"/>
    <w:rsid w:val="004A2B94"/>
    <w:rsid w:val="004B6F6A"/>
    <w:rsid w:val="004B7C0C"/>
    <w:rsid w:val="004C3898"/>
    <w:rsid w:val="004D1DD8"/>
    <w:rsid w:val="004D36B1"/>
    <w:rsid w:val="004D7EBD"/>
    <w:rsid w:val="004E2680"/>
    <w:rsid w:val="004E28F9"/>
    <w:rsid w:val="004E462E"/>
    <w:rsid w:val="004E56DC"/>
    <w:rsid w:val="004E76F4"/>
    <w:rsid w:val="004F0B4E"/>
    <w:rsid w:val="004F0B6C"/>
    <w:rsid w:val="004F2078"/>
    <w:rsid w:val="004F2161"/>
    <w:rsid w:val="004F4DA3"/>
    <w:rsid w:val="00506557"/>
    <w:rsid w:val="0050677A"/>
    <w:rsid w:val="005108D8"/>
    <w:rsid w:val="005116F9"/>
    <w:rsid w:val="005153A7"/>
    <w:rsid w:val="005219CF"/>
    <w:rsid w:val="005317FA"/>
    <w:rsid w:val="00534B59"/>
    <w:rsid w:val="00536759"/>
    <w:rsid w:val="00537C62"/>
    <w:rsid w:val="00546970"/>
    <w:rsid w:val="00554E19"/>
    <w:rsid w:val="0056121F"/>
    <w:rsid w:val="00572505"/>
    <w:rsid w:val="00582809"/>
    <w:rsid w:val="0058798C"/>
    <w:rsid w:val="005900FA"/>
    <w:rsid w:val="005935A4"/>
    <w:rsid w:val="005948C2"/>
    <w:rsid w:val="00595DCA"/>
    <w:rsid w:val="0059779B"/>
    <w:rsid w:val="005A209A"/>
    <w:rsid w:val="005A662D"/>
    <w:rsid w:val="005B1409"/>
    <w:rsid w:val="005B35D7"/>
    <w:rsid w:val="005B392A"/>
    <w:rsid w:val="005B3AA3"/>
    <w:rsid w:val="005B6F83"/>
    <w:rsid w:val="005C74FB"/>
    <w:rsid w:val="005D1602"/>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6101"/>
    <w:rsid w:val="00707072"/>
    <w:rsid w:val="00707D61"/>
    <w:rsid w:val="00712287"/>
    <w:rsid w:val="00712772"/>
    <w:rsid w:val="007148D3"/>
    <w:rsid w:val="00715B9A"/>
    <w:rsid w:val="007257D0"/>
    <w:rsid w:val="00726EA6"/>
    <w:rsid w:val="00727208"/>
    <w:rsid w:val="00727680"/>
    <w:rsid w:val="007348B1"/>
    <w:rsid w:val="007362A6"/>
    <w:rsid w:val="00736D7D"/>
    <w:rsid w:val="00740E58"/>
    <w:rsid w:val="007445A0"/>
    <w:rsid w:val="0074524B"/>
    <w:rsid w:val="00747D8B"/>
    <w:rsid w:val="00751228"/>
    <w:rsid w:val="007571E1"/>
    <w:rsid w:val="00757A16"/>
    <w:rsid w:val="007604B2"/>
    <w:rsid w:val="00765281"/>
    <w:rsid w:val="00766BAD"/>
    <w:rsid w:val="007729A2"/>
    <w:rsid w:val="007755F2"/>
    <w:rsid w:val="00776971"/>
    <w:rsid w:val="00780A80"/>
    <w:rsid w:val="0078177E"/>
    <w:rsid w:val="0078304C"/>
    <w:rsid w:val="00783673"/>
    <w:rsid w:val="00785490"/>
    <w:rsid w:val="00791415"/>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4EBB"/>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403E"/>
    <w:rsid w:val="009D4FF0"/>
    <w:rsid w:val="009D703C"/>
    <w:rsid w:val="009D718F"/>
    <w:rsid w:val="009E068F"/>
    <w:rsid w:val="009E14E0"/>
    <w:rsid w:val="009E35DB"/>
    <w:rsid w:val="009E47A3"/>
    <w:rsid w:val="009F08F3"/>
    <w:rsid w:val="009F344F"/>
    <w:rsid w:val="00A031D8"/>
    <w:rsid w:val="00A048A8"/>
    <w:rsid w:val="00A04F49"/>
    <w:rsid w:val="00A13E54"/>
    <w:rsid w:val="00A17F63"/>
    <w:rsid w:val="00A2193B"/>
    <w:rsid w:val="00A2351A"/>
    <w:rsid w:val="00A264A9"/>
    <w:rsid w:val="00A26DCF"/>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660D"/>
    <w:rsid w:val="00A77EC4"/>
    <w:rsid w:val="00A81C4C"/>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72AA"/>
    <w:rsid w:val="00B40445"/>
    <w:rsid w:val="00B409E0"/>
    <w:rsid w:val="00B41888"/>
    <w:rsid w:val="00B45A52"/>
    <w:rsid w:val="00B46175"/>
    <w:rsid w:val="00B548B7"/>
    <w:rsid w:val="00B664C7"/>
    <w:rsid w:val="00B739F6"/>
    <w:rsid w:val="00B81A6C"/>
    <w:rsid w:val="00B85DE5"/>
    <w:rsid w:val="00B90F73"/>
    <w:rsid w:val="00B93B59"/>
    <w:rsid w:val="00B9406A"/>
    <w:rsid w:val="00BA16A3"/>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268E6"/>
    <w:rsid w:val="00C279B5"/>
    <w:rsid w:val="00C27C45"/>
    <w:rsid w:val="00C3719D"/>
    <w:rsid w:val="00C37CB2"/>
    <w:rsid w:val="00C40C4D"/>
    <w:rsid w:val="00C473A5"/>
    <w:rsid w:val="00C54995"/>
    <w:rsid w:val="00C54D41"/>
    <w:rsid w:val="00C57050"/>
    <w:rsid w:val="00C60783"/>
    <w:rsid w:val="00C64672"/>
    <w:rsid w:val="00C65A98"/>
    <w:rsid w:val="00C70697"/>
    <w:rsid w:val="00C72093"/>
    <w:rsid w:val="00C72EF4"/>
    <w:rsid w:val="00C744FE"/>
    <w:rsid w:val="00C75D2F"/>
    <w:rsid w:val="00C767BE"/>
    <w:rsid w:val="00C76E3C"/>
    <w:rsid w:val="00C81568"/>
    <w:rsid w:val="00C9027A"/>
    <w:rsid w:val="00C9068E"/>
    <w:rsid w:val="00C93814"/>
    <w:rsid w:val="00C93C4B"/>
    <w:rsid w:val="00C944AB"/>
    <w:rsid w:val="00C95B40"/>
    <w:rsid w:val="00CA1ED8"/>
    <w:rsid w:val="00CA5D4C"/>
    <w:rsid w:val="00CB1F63"/>
    <w:rsid w:val="00CB7170"/>
    <w:rsid w:val="00CC040E"/>
    <w:rsid w:val="00CC111F"/>
    <w:rsid w:val="00CC2011"/>
    <w:rsid w:val="00CC3EA0"/>
    <w:rsid w:val="00CC7B45"/>
    <w:rsid w:val="00CD1188"/>
    <w:rsid w:val="00CD2ED1"/>
    <w:rsid w:val="00CD309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46FF"/>
    <w:rsid w:val="00D55AD5"/>
    <w:rsid w:val="00D576CA"/>
    <w:rsid w:val="00D61AF5"/>
    <w:rsid w:val="00D652B5"/>
    <w:rsid w:val="00D66155"/>
    <w:rsid w:val="00D708B0"/>
    <w:rsid w:val="00D77B1D"/>
    <w:rsid w:val="00D8021F"/>
    <w:rsid w:val="00D80383"/>
    <w:rsid w:val="00D823C6"/>
    <w:rsid w:val="00D8327F"/>
    <w:rsid w:val="00D86CA3"/>
    <w:rsid w:val="00D871CE"/>
    <w:rsid w:val="00D9196D"/>
    <w:rsid w:val="00D92982"/>
    <w:rsid w:val="00DA305E"/>
    <w:rsid w:val="00DA5417"/>
    <w:rsid w:val="00DA56E8"/>
    <w:rsid w:val="00DB0A9F"/>
    <w:rsid w:val="00DB377D"/>
    <w:rsid w:val="00DC2D36"/>
    <w:rsid w:val="00DC53EF"/>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06CE"/>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4D5"/>
    <w:rsid w:val="00EC27C6"/>
    <w:rsid w:val="00EC4207"/>
    <w:rsid w:val="00EC5653"/>
    <w:rsid w:val="00EC71CE"/>
    <w:rsid w:val="00ED1006"/>
    <w:rsid w:val="00EE02C0"/>
    <w:rsid w:val="00EE7E9F"/>
    <w:rsid w:val="00EF18FE"/>
    <w:rsid w:val="00EF5787"/>
    <w:rsid w:val="00EF60D0"/>
    <w:rsid w:val="00F0528D"/>
    <w:rsid w:val="00F06C67"/>
    <w:rsid w:val="00F06DFD"/>
    <w:rsid w:val="00F071D1"/>
    <w:rsid w:val="00F07533"/>
    <w:rsid w:val="00F10629"/>
    <w:rsid w:val="00F15FA5"/>
    <w:rsid w:val="00F209B7"/>
    <w:rsid w:val="00F20F5C"/>
    <w:rsid w:val="00F2376F"/>
    <w:rsid w:val="00F243D8"/>
    <w:rsid w:val="00F27B1D"/>
    <w:rsid w:val="00F30828"/>
    <w:rsid w:val="00F313D6"/>
    <w:rsid w:val="00F40F0C"/>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0BCA"/>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45A5"/>
    <w:rsid w:val="00FF5247"/>
    <w:rsid w:val="00FF5C91"/>
    <w:rsid w:val="699B709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1E05F7E"/>
  <w15:chartTrackingRefBased/>
  <w15:docId w15:val="{CB35458E-A384-4E4F-945E-C6E91899E7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2.xml><?xml version="1.0" encoding="utf-8"?>
<ds:datastoreItem xmlns:ds="http://schemas.openxmlformats.org/officeDocument/2006/customXml" ds:itemID="{A8A36821-DAC7-4F27-9D71-9BE5ECCA72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4.xml><?xml version="1.0" encoding="utf-8"?>
<ds:datastoreItem xmlns:ds="http://schemas.openxmlformats.org/officeDocument/2006/customXml" ds:itemID="{8FC14B63-5DD6-4AE6-B97C-EA092DA6B9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4</Pages>
  <Words>1003</Words>
  <Characters>5722</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6712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Håkan</cp:lastModifiedBy>
  <cp:revision>2</cp:revision>
  <cp:lastPrinted>2008-01-31T07:09:00Z</cp:lastPrinted>
  <dcterms:created xsi:type="dcterms:W3CDTF">2021-08-24T09:37:00Z</dcterms:created>
  <dcterms:modified xsi:type="dcterms:W3CDTF">2021-08-24T09:37:00Z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